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2DE" w:rsidRDefault="00D765A3">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4</w:t>
      </w:r>
      <w:r w:rsidR="004315F0">
        <w:rPr>
          <w:rFonts w:ascii="Arial" w:hAnsi="Arial" w:cs="Arial" w:hint="eastAsia"/>
          <w:sz w:val="22"/>
        </w:rPr>
        <w:t>b</w:t>
      </w:r>
      <w:r>
        <w:rPr>
          <w:rFonts w:ascii="Arial" w:hAnsi="Arial" w:cs="Arial"/>
          <w:sz w:val="22"/>
        </w:rPr>
        <w:t>-e</w:t>
      </w:r>
      <w:r>
        <w:rPr>
          <w:rFonts w:ascii="Arial" w:hAnsi="Arial" w:cs="Arial"/>
          <w:sz w:val="22"/>
        </w:rPr>
        <w:tab/>
      </w:r>
      <w:r w:rsidR="004315F0">
        <w:rPr>
          <w:rFonts w:ascii="Arial" w:hAnsi="Arial" w:cs="Arial"/>
          <w:sz w:val="22"/>
        </w:rPr>
        <w:t xml:space="preserve"> </w:t>
      </w:r>
      <w:r>
        <w:rPr>
          <w:rFonts w:ascii="Arial" w:hAnsi="Arial" w:cs="Arial"/>
          <w:sz w:val="22"/>
        </w:rPr>
        <w:tab/>
      </w:r>
      <w:r>
        <w:rPr>
          <w:rFonts w:ascii="Arial" w:hAnsi="Arial" w:cs="Arial"/>
          <w:sz w:val="22"/>
        </w:rPr>
        <w:tab/>
        <w:t xml:space="preserve">                                   R1-2</w:t>
      </w:r>
      <w:r>
        <w:rPr>
          <w:rFonts w:ascii="Arial" w:hAnsi="Arial" w:cs="Arial" w:hint="eastAsia"/>
          <w:sz w:val="22"/>
        </w:rPr>
        <w:t>1</w:t>
      </w:r>
      <w:r w:rsidR="004315F0">
        <w:rPr>
          <w:rFonts w:ascii="Arial" w:hAnsi="Arial" w:cs="Arial"/>
          <w:sz w:val="22"/>
        </w:rPr>
        <w:t>02919</w:t>
      </w:r>
    </w:p>
    <w:p w:rsidR="006202DE" w:rsidRDefault="00D765A3">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April</w:t>
      </w:r>
      <w:r>
        <w:rPr>
          <w:rFonts w:ascii="Arial" w:hAnsi="Arial" w:cs="Arial"/>
          <w:sz w:val="22"/>
        </w:rPr>
        <w:t xml:space="preserve"> </w:t>
      </w:r>
      <w:r>
        <w:rPr>
          <w:rFonts w:ascii="Arial" w:hAnsi="Arial" w:cs="Arial" w:hint="eastAsia"/>
          <w:sz w:val="22"/>
        </w:rPr>
        <w:t>12</w:t>
      </w:r>
      <w:r>
        <w:rPr>
          <w:rFonts w:ascii="Arial" w:hAnsi="Arial" w:cs="Arial"/>
          <w:sz w:val="22"/>
          <w:vertAlign w:val="superscript"/>
        </w:rPr>
        <w:t>th</w:t>
      </w:r>
      <w:r>
        <w:rPr>
          <w:rFonts w:ascii="Arial" w:hAnsi="Arial" w:cs="Arial"/>
          <w:sz w:val="22"/>
        </w:rPr>
        <w:t xml:space="preserve"> –</w:t>
      </w:r>
      <w:r w:rsidR="004315F0">
        <w:rPr>
          <w:rFonts w:ascii="Arial" w:hAnsi="Arial" w:cs="Arial"/>
          <w:sz w:val="22"/>
        </w:rPr>
        <w:t xml:space="preserve"> </w:t>
      </w:r>
      <w:r>
        <w:rPr>
          <w:rFonts w:ascii="Arial" w:hAnsi="Arial" w:cs="Arial" w:hint="eastAsia"/>
          <w:sz w:val="22"/>
        </w:rPr>
        <w:t>20</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6202DE" w:rsidRDefault="006202DE">
      <w:pPr>
        <w:pStyle w:val="3GPPHeader"/>
        <w:snapToGrid w:val="0"/>
        <w:rPr>
          <w:rFonts w:cs="Arial"/>
          <w:sz w:val="22"/>
        </w:rPr>
      </w:pPr>
    </w:p>
    <w:p w:rsidR="006202DE" w:rsidRDefault="00D765A3">
      <w:pPr>
        <w:pStyle w:val="3GPPHeader"/>
        <w:snapToGrid w:val="0"/>
        <w:rPr>
          <w:rFonts w:cs="Arial"/>
          <w:sz w:val="22"/>
        </w:rPr>
      </w:pPr>
      <w:r>
        <w:rPr>
          <w:rFonts w:cs="Arial"/>
          <w:sz w:val="22"/>
        </w:rPr>
        <w:t>Source:</w:t>
      </w:r>
      <w:r>
        <w:rPr>
          <w:rFonts w:cs="Arial"/>
          <w:sz w:val="22"/>
        </w:rPr>
        <w:tab/>
        <w:t>ZTE</w:t>
      </w:r>
    </w:p>
    <w:p w:rsidR="00237093" w:rsidRDefault="00D765A3">
      <w:pPr>
        <w:pStyle w:val="3GPPHeader"/>
        <w:snapToGrid w:val="0"/>
        <w:rPr>
          <w:rFonts w:cs="Arial"/>
          <w:sz w:val="22"/>
        </w:rPr>
      </w:pPr>
      <w:r>
        <w:rPr>
          <w:rFonts w:cs="Arial"/>
          <w:sz w:val="22"/>
        </w:rPr>
        <w:t>Title:</w:t>
      </w:r>
      <w:r>
        <w:rPr>
          <w:rFonts w:cs="Arial"/>
          <w:sz w:val="22"/>
        </w:rPr>
        <w:tab/>
      </w:r>
      <w:r w:rsidR="00237093" w:rsidRPr="00237093">
        <w:rPr>
          <w:rFonts w:cs="Arial"/>
          <w:sz w:val="22"/>
        </w:rPr>
        <w:t>Discussion on HARQ for IoT-NTN</w:t>
      </w:r>
    </w:p>
    <w:p w:rsidR="006202DE" w:rsidRDefault="00D765A3">
      <w:pPr>
        <w:pStyle w:val="3GPPHeader"/>
        <w:snapToGrid w:val="0"/>
        <w:rPr>
          <w:rFonts w:cs="Arial"/>
          <w:sz w:val="22"/>
        </w:rPr>
      </w:pPr>
      <w:r>
        <w:rPr>
          <w:rFonts w:cs="Arial"/>
          <w:sz w:val="22"/>
        </w:rPr>
        <w:t>Agenda Item:</w:t>
      </w:r>
      <w:r>
        <w:rPr>
          <w:rFonts w:cs="Arial"/>
          <w:sz w:val="22"/>
        </w:rPr>
        <w:tab/>
        <w:t>8.</w:t>
      </w:r>
      <w:r>
        <w:rPr>
          <w:rFonts w:cs="Arial" w:hint="eastAsia"/>
          <w:sz w:val="22"/>
        </w:rPr>
        <w:t>15.4</w:t>
      </w:r>
    </w:p>
    <w:p w:rsidR="006202DE" w:rsidRDefault="00D765A3">
      <w:pPr>
        <w:pBdr>
          <w:bottom w:val="single" w:sz="6" w:space="1" w:color="auto"/>
        </w:pBdr>
        <w:snapToGrid w:val="0"/>
        <w:rPr>
          <w:rFonts w:ascii="Arial" w:hAnsi="Arial"/>
          <w:b/>
        </w:rPr>
      </w:pPr>
      <w:r>
        <w:rPr>
          <w:rFonts w:ascii="Arial" w:hAnsi="Arial"/>
          <w:b/>
        </w:rPr>
        <w:t>Document for:  Discussion</w:t>
      </w:r>
      <w:bookmarkEnd w:id="0"/>
      <w:bookmarkEnd w:id="1"/>
    </w:p>
    <w:p w:rsidR="006202DE" w:rsidRDefault="00D765A3">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p>
    <w:p w:rsidR="006202DE" w:rsidRDefault="00D765A3">
      <w:pPr>
        <w:spacing w:afterLines="50" w:after="120" w:line="240" w:lineRule="auto"/>
        <w:ind w:firstLine="420"/>
        <w:rPr>
          <w:rFonts w:ascii="Times New Roman" w:hAnsi="Times New Roman"/>
          <w:i/>
          <w:iCs/>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HARQ for IoT-NTN.</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spacing w:beforeLines="50" w:before="120" w:afterLines="50" w:after="120" w:line="240" w:lineRule="auto"/>
        <w:ind w:leftChars="200" w:left="440"/>
        <w:jc w:val="both"/>
      </w:pPr>
      <w:r>
        <w:rPr>
          <w:rFonts w:ascii="Times New Roman" w:hAnsi="Times New Roman"/>
          <w:i/>
          <w:iCs/>
          <w:sz w:val="20"/>
          <w:szCs w:val="20"/>
        </w:rPr>
        <w:t>Study further the potential benefits and/or drawbacks of increasing the number of HARQ processes on throughput, latency, power consumption and complexity</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For NTN, further study potential benefits and/or drawbacks of disabling HARQ feedback for NB-IoT.</w:t>
      </w:r>
    </w:p>
    <w:p w:rsidR="006202DE" w:rsidRDefault="00D765A3">
      <w:pPr>
        <w:numPr>
          <w:ilvl w:val="0"/>
          <w:numId w:val="5"/>
        </w:numPr>
        <w:spacing w:after="0" w:line="240" w:lineRule="auto"/>
      </w:pPr>
      <w:r>
        <w:rPr>
          <w:rFonts w:ascii="Times New Roman" w:hAnsi="Times New Roman" w:cs="Times New Roman"/>
          <w:i/>
          <w:iCs/>
          <w:sz w:val="20"/>
          <w:szCs w:val="20"/>
          <w:lang w:eastAsia="ko-KR"/>
        </w:rPr>
        <w:t>For NTN, further study potential benefits and/or drawbacks of disabling HARQ feedback for eMTC.</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In relation to HARQ operation in NTN IoT, further study at least </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any other potential HARQ feedback mechanisms</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reduced PDCCH monitoring</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coverage enhancements</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uplink transmission gaps with multiple HARQ processes</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The necessity, potential benefits and drawbacks of maintaining HARQ process continuity in serving cell change </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multiple Transport Blocks scheduling</w:t>
      </w:r>
    </w:p>
    <w:p w:rsidR="006202DE" w:rsidRDefault="00D765A3">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necessity, potential benefits and drawbacks of throughput enhancements</w:t>
      </w:r>
    </w:p>
    <w:p w:rsidR="006202DE" w:rsidRDefault="00D765A3">
      <w:pPr>
        <w:numPr>
          <w:ilvl w:val="1"/>
          <w:numId w:val="5"/>
        </w:numPr>
        <w:spacing w:after="0" w:line="240" w:lineRule="auto"/>
      </w:pPr>
      <w:r>
        <w:rPr>
          <w:rFonts w:ascii="Times New Roman" w:hAnsi="Times New Roman" w:cs="Times New Roman"/>
          <w:i/>
          <w:iCs/>
          <w:sz w:val="20"/>
          <w:szCs w:val="20"/>
          <w:lang w:eastAsia="ko-KR"/>
        </w:rPr>
        <w:t>FFS: Whether target throughput in NTN will be the same as target throughput in terrestrial networks</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motivation for introducing HARQ enhancements in NR NTN needs further consideration for HARQ enhancements in NTN IoT. Capture the following in the TR:</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rsidR="006202DE" w:rsidRDefault="00D765A3">
      <w:pPr>
        <w:numPr>
          <w:ilvl w:val="0"/>
          <w:numId w:val="5"/>
        </w:numPr>
        <w:spacing w:after="0" w:line="240" w:lineRule="auto"/>
      </w:pPr>
      <w:r>
        <w:rPr>
          <w:rFonts w:ascii="Times New Roman" w:hAnsi="Times New Roman" w:cs="Times New Roman"/>
          <w:i/>
          <w:iCs/>
          <w:sz w:val="20"/>
          <w:szCs w:val="20"/>
        </w:rPr>
        <w:t>The peak throughput of IoT UEs operating over NTN is not expected to be higher than the peak throughput of IoT UEs operating over TN.  </w:t>
      </w:r>
      <w:r>
        <w:rPr>
          <w:rFonts w:ascii="Times New Roman" w:hAnsi="Times New Roman"/>
          <w:i/>
          <w:iCs/>
          <w:sz w:val="20"/>
          <w:szCs w:val="20"/>
        </w:rPr>
        <w:t xml:space="preserve"> </w:t>
      </w:r>
    </w:p>
    <w:p w:rsidR="006202DE" w:rsidRDefault="00D765A3">
      <w:pPr>
        <w:spacing w:beforeLines="50" w:before="120" w:afterLines="50" w:after="120" w:line="240" w:lineRule="auto"/>
        <w:ind w:firstLine="42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spacing w:beforeLines="50" w:before="120" w:afterLines="50" w:after="120" w:line="240" w:lineRule="auto"/>
        <w:ind w:leftChars="200" w:left="440"/>
        <w:jc w:val="both"/>
        <w:rPr>
          <w:rFonts w:ascii="Times New Roman" w:hAnsi="Times New Roman"/>
          <w:b/>
          <w:bCs/>
          <w:szCs w:val="20"/>
          <w:highlight w:val="yellow"/>
        </w:rPr>
      </w:pPr>
      <w:r>
        <w:rPr>
          <w:rFonts w:ascii="Times New Roman" w:hAnsi="Times New Roman"/>
          <w:i/>
          <w:iCs/>
          <w:sz w:val="20"/>
          <w:szCs w:val="20"/>
        </w:rPr>
        <w:t>Further study to identify whether HARQ stalling happens at least in the GEO satellite scenario.</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Further discuss </w:t>
      </w:r>
      <w:r>
        <w:rPr>
          <w:rFonts w:ascii="Times New Roman" w:hAnsi="Times New Roman" w:cs="Times New Roman"/>
          <w:i/>
          <w:iCs/>
          <w:sz w:val="20"/>
          <w:szCs w:val="20"/>
          <w:lang w:eastAsia="ko-KR"/>
        </w:rPr>
        <w:t xml:space="preserve">the potential benefits and/or drawbacks of </w:t>
      </w:r>
      <w:r>
        <w:rPr>
          <w:rFonts w:ascii="Times New Roman" w:hAnsi="Times New Roman" w:cs="Times New Roman"/>
          <w:i/>
          <w:iCs/>
          <w:sz w:val="20"/>
          <w:szCs w:val="20"/>
        </w:rPr>
        <w:t>increasing the number of HARQ processes in the UL for NB-IoT and eMTC, and for the analysis consider at least the following for the number of HARQ processes</w:t>
      </w:r>
    </w:p>
    <w:p w:rsidR="006202DE" w:rsidRDefault="00D765A3">
      <w:pPr>
        <w:numPr>
          <w:ilvl w:val="1"/>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NB-IoT: 1,2,4</w:t>
      </w:r>
    </w:p>
    <w:p w:rsidR="006202DE" w:rsidRDefault="00D765A3">
      <w:pPr>
        <w:numPr>
          <w:ilvl w:val="1"/>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t>eMTC: 2,4,8,14</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t>And discuss at least power consumption and peak data rate as performance metrics</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lastRenderedPageBreak/>
        <w:t>FFS: Whether to consider DL</w:t>
      </w:r>
    </w:p>
    <w:p w:rsidR="006202DE" w:rsidRDefault="00D765A3">
      <w:pPr>
        <w:numPr>
          <w:ilvl w:val="0"/>
          <w:numId w:val="5"/>
        </w:numPr>
        <w:spacing w:after="0" w:line="240" w:lineRule="auto"/>
        <w:rPr>
          <w:rFonts w:ascii="Times New Roman" w:hAnsi="Times New Roman"/>
          <w:szCs w:val="20"/>
        </w:rPr>
      </w:pPr>
      <w:r>
        <w:rPr>
          <w:rFonts w:ascii="Times New Roman" w:hAnsi="Times New Roman" w:cs="Times New Roman"/>
          <w:i/>
          <w:iCs/>
          <w:sz w:val="20"/>
          <w:szCs w:val="20"/>
          <w:lang w:eastAsia="ko-KR"/>
        </w:rPr>
        <w:t>Other values for number of HARQ processes below the maximum value can be discussed</w:t>
      </w:r>
    </w:p>
    <w:p w:rsidR="006202DE" w:rsidRDefault="00D765A3">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Further discuss the potential benefits and/or drawbacks of disabling HARQ feedback for NB-IoT and eMTC, and consider at least the following number of HARQ processes for the analysis</w:t>
      </w:r>
    </w:p>
    <w:p w:rsidR="006202DE" w:rsidRDefault="00D765A3">
      <w:pPr>
        <w:numPr>
          <w:ilvl w:val="1"/>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NB-IoT: </w:t>
      </w:r>
    </w:p>
    <w:p w:rsidR="006202DE" w:rsidRDefault="00D765A3">
      <w:pPr>
        <w:numPr>
          <w:ilvl w:val="2"/>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Total: 2, disabled: {1,2}</w:t>
      </w:r>
    </w:p>
    <w:p w:rsidR="006202DE" w:rsidRDefault="00D765A3">
      <w:pPr>
        <w:numPr>
          <w:ilvl w:val="1"/>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eMTC:</w:t>
      </w:r>
    </w:p>
    <w:p w:rsidR="006202DE" w:rsidRDefault="00D765A3">
      <w:pPr>
        <w:numPr>
          <w:ilvl w:val="2"/>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Total: 2, disabled: {1,2}</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Total: 8, disabled: {1,2,7,8}</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t>Other values for number of HARQ processes below the maximum value can be discussed</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FFS: whether to consider separately LEO and GEO scenarios</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FFS: whether to allow disabling of HARQ feedback in case of single HARQ process</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t>FFS: whether to allow disabling of all HARQ feedback</w:t>
      </w:r>
    </w:p>
    <w:p w:rsidR="006202DE" w:rsidRDefault="00D765A3">
      <w:pPr>
        <w:numPr>
          <w:ilvl w:val="0"/>
          <w:numId w:val="5"/>
        </w:numPr>
        <w:spacing w:after="0" w:line="240" w:lineRule="auto"/>
        <w:rPr>
          <w:rFonts w:ascii="Times New Roman" w:hAnsi="Times New Roman" w:cs="Times New Roman"/>
          <w:i/>
          <w:iCs/>
          <w:sz w:val="20"/>
          <w:szCs w:val="20"/>
        </w:rPr>
      </w:pPr>
      <w:r>
        <w:rPr>
          <w:rFonts w:ascii="Times New Roman" w:hAnsi="Times New Roman" w:cs="Times New Roman"/>
          <w:i/>
          <w:iCs/>
          <w:sz w:val="20"/>
          <w:szCs w:val="20"/>
          <w:lang w:eastAsia="ko-KR"/>
        </w:rPr>
        <w:t>FFS: other details for the evaluation/analysis</w:t>
      </w:r>
    </w:p>
    <w:p w:rsidR="006202DE" w:rsidRDefault="00D765A3">
      <w:pPr>
        <w:spacing w:beforeLines="50" w:before="120" w:afterLines="50" w:after="120" w:line="240" w:lineRule="auto"/>
        <w:ind w:firstLine="42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issues related to HARQ </w:t>
      </w:r>
      <w:r>
        <w:rPr>
          <w:rFonts w:ascii="Times New Roman" w:hAnsi="Times New Roman"/>
          <w:sz w:val="20"/>
          <w:szCs w:val="20"/>
        </w:rPr>
        <w:t>are</w:t>
      </w:r>
      <w:r>
        <w:rPr>
          <w:rFonts w:ascii="Times New Roman" w:hAnsi="Times New Roman" w:hint="eastAsia"/>
          <w:sz w:val="20"/>
          <w:szCs w:val="20"/>
        </w:rPr>
        <w:t xml:space="preserve"> </w:t>
      </w:r>
      <w:r>
        <w:rPr>
          <w:rFonts w:ascii="Times New Roman" w:hAnsi="Times New Roman"/>
          <w:sz w:val="20"/>
          <w:szCs w:val="20"/>
        </w:rPr>
        <w:t>elaborated with corresponding analysis.</w:t>
      </w:r>
    </w:p>
    <w:p w:rsidR="006202DE" w:rsidRDefault="00D765A3">
      <w:pPr>
        <w:pStyle w:val="1"/>
        <w:keepNext w:val="0"/>
        <w:keepLines w:val="0"/>
        <w:widowControl w:val="0"/>
        <w:numPr>
          <w:ilvl w:val="0"/>
          <w:numId w:val="4"/>
        </w:numPr>
        <w:pBdr>
          <w:top w:val="none" w:sz="0" w:space="0" w:color="auto"/>
        </w:pBdr>
        <w:tabs>
          <w:tab w:val="left" w:pos="432"/>
        </w:tabs>
        <w:overflowPunct/>
        <w:snapToGrid w:val="0"/>
        <w:spacing w:beforeLines="50" w:before="120" w:afterLines="100" w:after="24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 xml:space="preserve">Discussion on necessity for </w:t>
      </w:r>
      <w:r w:rsidR="00441832">
        <w:rPr>
          <w:rFonts w:ascii="Times New Roman" w:eastAsia="黑体" w:hAnsi="Times New Roman" w:cs="Times New Roman"/>
          <w:b/>
          <w:bCs/>
          <w:sz w:val="28"/>
          <w:szCs w:val="30"/>
          <w:lang w:val="en-US"/>
        </w:rPr>
        <w:t>HARQ enhancement</w:t>
      </w:r>
    </w:p>
    <w:p w:rsidR="006202DE" w:rsidRDefault="00D765A3">
      <w:pPr>
        <w:rPr>
          <w:rFonts w:ascii="Times New Roman" w:hAnsi="Times New Roman"/>
          <w:sz w:val="20"/>
          <w:szCs w:val="20"/>
        </w:rPr>
      </w:pPr>
      <w:r>
        <w:rPr>
          <w:rFonts w:ascii="Times New Roman" w:eastAsia="黑体" w:hAnsi="Times New Roman" w:cs="Times New Roman"/>
          <w:bCs/>
          <w:sz w:val="20"/>
          <w:szCs w:val="20"/>
        </w:rPr>
        <w:t xml:space="preserve">In NR-NTN discussion, </w:t>
      </w:r>
      <w:r>
        <w:rPr>
          <w:rFonts w:ascii="Times New Roman" w:eastAsia="黑体" w:hAnsi="Times New Roman" w:cs="Times New Roman" w:hint="eastAsia"/>
          <w:bCs/>
          <w:sz w:val="20"/>
          <w:szCs w:val="20"/>
        </w:rPr>
        <w:t>increasing HARQ process number and disabling HARQ feedback are</w:t>
      </w:r>
      <w:r>
        <w:rPr>
          <w:rFonts w:ascii="Times New Roman" w:eastAsia="黑体" w:hAnsi="Times New Roman" w:cs="Times New Roman"/>
          <w:bCs/>
          <w:sz w:val="20"/>
          <w:szCs w:val="20"/>
        </w:rPr>
        <w:t xml:space="preserve"> proposed to</w:t>
      </w:r>
      <w:r>
        <w:rPr>
          <w:rFonts w:ascii="Times New Roman" w:eastAsia="黑体" w:hAnsi="Times New Roman" w:cs="Times New Roman" w:hint="eastAsia"/>
          <w:bCs/>
          <w:sz w:val="20"/>
          <w:szCs w:val="20"/>
        </w:rPr>
        <w:t xml:space="preserve"> avoid</w:t>
      </w:r>
      <w:r>
        <w:rPr>
          <w:rFonts w:ascii="Times New Roman" w:eastAsia="黑体" w:hAnsi="Times New Roman" w:cs="Times New Roman"/>
          <w:bCs/>
          <w:sz w:val="20"/>
          <w:szCs w:val="20"/>
        </w:rPr>
        <w:t xml:space="preserve"> the </w:t>
      </w:r>
      <w:r>
        <w:rPr>
          <w:rFonts w:ascii="Times New Roman" w:eastAsia="黑体" w:hAnsi="Times New Roman" w:cs="Times New Roman" w:hint="eastAsia"/>
          <w:bCs/>
          <w:sz w:val="20"/>
          <w:szCs w:val="20"/>
        </w:rPr>
        <w:t xml:space="preserve">throughput loss due to HARQ stalling </w:t>
      </w:r>
      <w:r>
        <w:rPr>
          <w:rFonts w:ascii="Times New Roman" w:eastAsia="黑体" w:hAnsi="Times New Roman" w:cs="Times New Roman"/>
          <w:bCs/>
          <w:sz w:val="20"/>
          <w:szCs w:val="20"/>
        </w:rPr>
        <w:t xml:space="preserve">with </w:t>
      </w:r>
      <w:r>
        <w:rPr>
          <w:rFonts w:ascii="Times New Roman" w:eastAsia="黑体" w:hAnsi="Times New Roman" w:cs="Times New Roman" w:hint="eastAsia"/>
          <w:bCs/>
          <w:sz w:val="20"/>
          <w:szCs w:val="20"/>
        </w:rPr>
        <w:t xml:space="preserve">the </w:t>
      </w:r>
      <w:r>
        <w:rPr>
          <w:rFonts w:ascii="Times New Roman" w:eastAsia="黑体" w:hAnsi="Times New Roman" w:cs="Times New Roman"/>
          <w:bCs/>
          <w:sz w:val="20"/>
          <w:szCs w:val="20"/>
        </w:rPr>
        <w:t xml:space="preserve">consideration on large RTT. </w:t>
      </w:r>
      <w:r>
        <w:rPr>
          <w:rFonts w:ascii="Times New Roman" w:eastAsia="黑体" w:hAnsi="Times New Roman" w:cs="Times New Roman" w:hint="eastAsia"/>
          <w:bCs/>
          <w:sz w:val="20"/>
          <w:szCs w:val="20"/>
        </w:rPr>
        <w:t>While f</w:t>
      </w:r>
      <w:r>
        <w:rPr>
          <w:rFonts w:ascii="Times New Roman" w:eastAsia="黑体" w:hAnsi="Times New Roman" w:cs="Times New Roman"/>
          <w:bCs/>
          <w:sz w:val="20"/>
          <w:szCs w:val="20"/>
        </w:rPr>
        <w:t xml:space="preserve">or the IoT case, </w:t>
      </w:r>
      <w:r>
        <w:rPr>
          <w:rFonts w:ascii="Times New Roman" w:eastAsia="黑体" w:hAnsi="Times New Roman" w:cs="Times New Roman" w:hint="eastAsia"/>
          <w:bCs/>
          <w:sz w:val="20"/>
          <w:szCs w:val="20"/>
        </w:rPr>
        <w:t xml:space="preserve">due to </w:t>
      </w:r>
      <w:r w:rsidR="00441832">
        <w:rPr>
          <w:rFonts w:ascii="Times New Roman" w:eastAsia="黑体" w:hAnsi="Times New Roman" w:cs="Times New Roman"/>
          <w:bCs/>
          <w:sz w:val="20"/>
          <w:szCs w:val="20"/>
        </w:rPr>
        <w:t xml:space="preserve">the needs on </w:t>
      </w:r>
      <w:r>
        <w:rPr>
          <w:rFonts w:ascii="Times New Roman" w:eastAsia="黑体" w:hAnsi="Times New Roman" w:cs="Times New Roman"/>
          <w:bCs/>
          <w:sz w:val="20"/>
          <w:szCs w:val="20"/>
        </w:rPr>
        <w:t xml:space="preserve">time domain repetition for </w:t>
      </w:r>
      <w:r>
        <w:rPr>
          <w:rFonts w:ascii="Times New Roman" w:eastAsia="黑体" w:hAnsi="Times New Roman" w:cs="Times New Roman" w:hint="eastAsia"/>
          <w:bCs/>
          <w:sz w:val="20"/>
          <w:szCs w:val="20"/>
        </w:rPr>
        <w:t>each TB</w:t>
      </w:r>
      <w:r>
        <w:rPr>
          <w:rFonts w:ascii="Times New Roman" w:eastAsia="黑体" w:hAnsi="Times New Roman" w:cs="Times New Roman"/>
          <w:bCs/>
          <w:sz w:val="20"/>
          <w:szCs w:val="20"/>
        </w:rPr>
        <w:t xml:space="preserve"> to ensure the large coverage</w:t>
      </w:r>
      <w:r>
        <w:rPr>
          <w:rFonts w:ascii="Times New Roman" w:eastAsia="黑体" w:hAnsi="Times New Roman" w:cs="Times New Roman" w:hint="eastAsia"/>
          <w:bCs/>
          <w:sz w:val="20"/>
          <w:szCs w:val="20"/>
        </w:rPr>
        <w:t>,</w:t>
      </w:r>
      <w:r>
        <w:rPr>
          <w:rFonts w:ascii="Times New Roman" w:eastAsia="黑体" w:hAnsi="Times New Roman" w:cs="Times New Roman"/>
          <w:bCs/>
          <w:sz w:val="20"/>
          <w:szCs w:val="20"/>
        </w:rPr>
        <w:t xml:space="preserve"> the</w:t>
      </w:r>
      <w:r>
        <w:rPr>
          <w:rFonts w:ascii="Times New Roman" w:eastAsia="黑体" w:hAnsi="Times New Roman" w:cs="Times New Roman" w:hint="eastAsia"/>
          <w:bCs/>
          <w:sz w:val="20"/>
          <w:szCs w:val="20"/>
        </w:rPr>
        <w:t xml:space="preserve"> </w:t>
      </w:r>
      <w:r>
        <w:rPr>
          <w:rFonts w:ascii="Times New Roman" w:eastAsia="黑体" w:hAnsi="Times New Roman" w:cs="Times New Roman"/>
          <w:bCs/>
          <w:sz w:val="20"/>
          <w:szCs w:val="20"/>
        </w:rPr>
        <w:t>duration for each transmission will</w:t>
      </w:r>
      <w:r>
        <w:rPr>
          <w:rFonts w:ascii="Times New Roman" w:eastAsia="黑体" w:hAnsi="Times New Roman" w:cs="Times New Roman" w:hint="eastAsia"/>
          <w:bCs/>
          <w:sz w:val="20"/>
          <w:szCs w:val="20"/>
        </w:rPr>
        <w:t xml:space="preserve"> be </w:t>
      </w:r>
      <w:r>
        <w:rPr>
          <w:rFonts w:ascii="Times New Roman" w:eastAsia="黑体" w:hAnsi="Times New Roman" w:cs="Times New Roman"/>
          <w:bCs/>
          <w:sz w:val="20"/>
          <w:szCs w:val="20"/>
        </w:rPr>
        <w:t>extended</w:t>
      </w:r>
      <w:r>
        <w:rPr>
          <w:rFonts w:ascii="Times New Roman" w:eastAsia="黑体" w:hAnsi="Times New Roman" w:cs="Times New Roman" w:hint="eastAsia"/>
          <w:bCs/>
          <w:sz w:val="20"/>
          <w:szCs w:val="20"/>
        </w:rPr>
        <w:t xml:space="preserve"> and </w:t>
      </w:r>
      <w:r>
        <w:rPr>
          <w:rFonts w:ascii="Times New Roman" w:eastAsia="黑体" w:hAnsi="Times New Roman" w:cs="Times New Roman"/>
          <w:bCs/>
          <w:sz w:val="20"/>
          <w:szCs w:val="20"/>
        </w:rPr>
        <w:t>the impacts of larger RTT may be not significant as NR-NTN</w:t>
      </w:r>
      <w:r>
        <w:rPr>
          <w:rFonts w:ascii="Times New Roman" w:eastAsia="黑体" w:hAnsi="Times New Roman" w:cs="Times New Roman" w:hint="eastAsia"/>
          <w:bCs/>
          <w:sz w:val="20"/>
          <w:szCs w:val="20"/>
        </w:rPr>
        <w:t>. Therefore,</w:t>
      </w:r>
      <w:r>
        <w:rPr>
          <w:rFonts w:ascii="Times New Roman" w:hAnsi="Times New Roman" w:hint="eastAsia"/>
          <w:sz w:val="20"/>
          <w:szCs w:val="20"/>
        </w:rPr>
        <w:t xml:space="preserve"> evaluations on the throughput </w:t>
      </w:r>
      <w:r>
        <w:rPr>
          <w:rFonts w:ascii="Times New Roman" w:hAnsi="Times New Roman"/>
          <w:sz w:val="20"/>
          <w:szCs w:val="20"/>
        </w:rPr>
        <w:t xml:space="preserve">in </w:t>
      </w:r>
      <w:r>
        <w:rPr>
          <w:rFonts w:ascii="Times New Roman" w:hAnsi="Times New Roman" w:hint="eastAsia"/>
          <w:sz w:val="20"/>
          <w:szCs w:val="20"/>
        </w:rPr>
        <w:t>IoT-NTN should be first</w:t>
      </w:r>
      <w:r>
        <w:rPr>
          <w:rFonts w:ascii="Times New Roman" w:hAnsi="Times New Roman"/>
          <w:sz w:val="20"/>
          <w:szCs w:val="20"/>
        </w:rPr>
        <w:t>ly</w:t>
      </w:r>
      <w:r>
        <w:rPr>
          <w:rFonts w:ascii="Times New Roman" w:hAnsi="Times New Roman" w:hint="eastAsia"/>
          <w:sz w:val="20"/>
          <w:szCs w:val="20"/>
        </w:rPr>
        <w:t xml:space="preserve"> performed before </w:t>
      </w:r>
      <w:r w:rsidR="00441832">
        <w:rPr>
          <w:rFonts w:ascii="Times New Roman" w:hAnsi="Times New Roman"/>
          <w:sz w:val="20"/>
          <w:szCs w:val="20"/>
        </w:rPr>
        <w:t>concluding</w:t>
      </w:r>
      <w:r w:rsidR="00441832">
        <w:rPr>
          <w:rFonts w:ascii="Times New Roman" w:hAnsi="Times New Roman" w:hint="eastAsia"/>
          <w:sz w:val="20"/>
          <w:szCs w:val="20"/>
        </w:rPr>
        <w:t xml:space="preserve"> </w:t>
      </w:r>
      <w:r>
        <w:rPr>
          <w:rFonts w:ascii="Times New Roman" w:hAnsi="Times New Roman" w:hint="eastAsia"/>
          <w:sz w:val="20"/>
          <w:szCs w:val="20"/>
        </w:rPr>
        <w:t xml:space="preserve">the necessity </w:t>
      </w:r>
      <w:r w:rsidR="00441832">
        <w:rPr>
          <w:rFonts w:ascii="Times New Roman" w:hAnsi="Times New Roman"/>
          <w:sz w:val="20"/>
          <w:szCs w:val="20"/>
        </w:rPr>
        <w:t>on HARQ enhancement</w:t>
      </w:r>
      <w:r>
        <w:rPr>
          <w:rFonts w:ascii="Times New Roman" w:hAnsi="Times New Roman" w:hint="eastAsia"/>
          <w:sz w:val="20"/>
          <w:szCs w:val="20"/>
        </w:rPr>
        <w:t>.</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HARQ stalling in DL</w:t>
      </w:r>
    </w:p>
    <w:p w:rsidR="006202DE" w:rsidRDefault="00D765A3">
      <w:pPr>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Based on the Set-1 parameters agreed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_Ref26477 \n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xml:space="preserve">, the maximum achievable SNR and RTT are summarized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_Ref25191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3</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w:t>
      </w:r>
    </w:p>
    <w:p w:rsidR="006202DE" w:rsidRDefault="00D765A3">
      <w:pPr>
        <w:pStyle w:val="a3"/>
        <w:keepNext/>
        <w:ind w:leftChars="200" w:left="440"/>
        <w:rPr>
          <w:lang w:val="en-US"/>
        </w:rPr>
      </w:pPr>
      <w:bookmarkStart w:id="3" w:name="_Ref25191"/>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3</w:t>
      </w:r>
      <w:r>
        <w:rPr>
          <w:rFonts w:hint="eastAsia"/>
          <w:b w:val="0"/>
          <w:lang w:val="en-US"/>
        </w:rPr>
        <w:fldChar w:fldCharType="end"/>
      </w:r>
      <w:bookmarkEnd w:id="3"/>
      <w:r>
        <w:rPr>
          <w:rFonts w:hint="eastAsia"/>
          <w:b w:val="0"/>
          <w:lang w:val="en-US"/>
        </w:rPr>
        <w:t xml:space="preserve"> Maximum SNR and RTT for IoT-NTN with Set-1 parameters</w:t>
      </w:r>
    </w:p>
    <w:tbl>
      <w:tblPr>
        <w:tblW w:w="9390" w:type="dxa"/>
        <w:tblLayout w:type="fixed"/>
        <w:tblCellMar>
          <w:left w:w="0" w:type="dxa"/>
          <w:right w:w="0" w:type="dxa"/>
        </w:tblCellMar>
        <w:tblLook w:val="04A0" w:firstRow="1" w:lastRow="0" w:firstColumn="1" w:lastColumn="0" w:noHBand="0" w:noVBand="1"/>
      </w:tblPr>
      <w:tblGrid>
        <w:gridCol w:w="1726"/>
        <w:gridCol w:w="1277"/>
        <w:gridCol w:w="1277"/>
        <w:gridCol w:w="1277"/>
        <w:gridCol w:w="1277"/>
        <w:gridCol w:w="1276"/>
        <w:gridCol w:w="1280"/>
      </w:tblGrid>
      <w:tr w:rsidR="006202DE">
        <w:trPr>
          <w:trHeight w:val="174"/>
        </w:trPr>
        <w:tc>
          <w:tcPr>
            <w:tcW w:w="17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elevation angle</w:t>
            </w:r>
          </w:p>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LEO-600</w:t>
            </w:r>
          </w:p>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LEO-1200</w:t>
            </w:r>
          </w:p>
        </w:tc>
        <w:tc>
          <w:tcPr>
            <w:tcW w:w="2556"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GEO</w:t>
            </w:r>
          </w:p>
        </w:tc>
      </w:tr>
      <w:tr w:rsidR="006202DE">
        <w:trPr>
          <w:trHeight w:val="384"/>
        </w:trPr>
        <w:tc>
          <w:tcPr>
            <w:tcW w:w="172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6202DE">
            <w:pPr>
              <w:jc w:val="center"/>
              <w:rPr>
                <w:rFonts w:ascii="Times New Roman" w:eastAsia="宋体" w:hAnsi="Times New Roman" w:cs="Times New Roman"/>
                <w:color w:val="000000"/>
                <w:sz w:val="20"/>
                <w:szCs w:val="20"/>
              </w:rPr>
            </w:pPr>
          </w:p>
        </w:tc>
        <w:tc>
          <w:tcPr>
            <w:tcW w:w="127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c>
          <w:tcPr>
            <w:tcW w:w="127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c>
          <w:tcPr>
            <w:tcW w:w="127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r>
      <w:tr w:rsidR="006202DE">
        <w:trPr>
          <w:trHeight w:val="189"/>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90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3.71</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16.88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3.69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28.87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-6.8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509.11</w:t>
            </w:r>
          </w:p>
        </w:tc>
      </w:tr>
      <w:tr w:rsidR="006202DE">
        <w:trPr>
          <w:trHeight w:val="339"/>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30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20.04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-0.78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34.2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-7.5</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527.93</w:t>
            </w:r>
          </w:p>
        </w:tc>
      </w:tr>
      <w:tr w:rsidR="006202DE">
        <w:trPr>
          <w:trHeight w:val="285"/>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10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-6.62</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25.75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-4.81</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41.75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-8.06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541.08</w:t>
            </w:r>
          </w:p>
        </w:tc>
      </w:tr>
    </w:tbl>
    <w:p w:rsidR="006202DE" w:rsidRDefault="00D765A3">
      <w:pPr>
        <w:spacing w:beforeLines="50" w:before="120" w:line="240" w:lineRule="auto"/>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Note that the SNR in DL transmission is not related to the </w:t>
      </w:r>
      <w:r>
        <w:rPr>
          <w:rFonts w:ascii="Times New Roman" w:eastAsia="黑体" w:hAnsi="Times New Roman" w:cs="Times New Roman"/>
          <w:bCs/>
          <w:sz w:val="20"/>
          <w:szCs w:val="20"/>
        </w:rPr>
        <w:t xml:space="preserve">bandwidth and </w:t>
      </w:r>
      <w:r w:rsidR="00001065">
        <w:rPr>
          <w:rFonts w:ascii="Times New Roman" w:eastAsia="黑体" w:hAnsi="Times New Roman" w:cs="Times New Roman"/>
          <w:bCs/>
          <w:sz w:val="20"/>
          <w:szCs w:val="20"/>
        </w:rPr>
        <w:t>it</w:t>
      </w:r>
      <w:r>
        <w:rPr>
          <w:rFonts w:ascii="Times New Roman" w:eastAsia="黑体" w:hAnsi="Times New Roman" w:cs="Times New Roman" w:hint="eastAsia"/>
          <w:bCs/>
          <w:sz w:val="20"/>
          <w:szCs w:val="20"/>
        </w:rPr>
        <w:t xml:space="preserve"> </w:t>
      </w:r>
      <w:r>
        <w:rPr>
          <w:rFonts w:ascii="Times New Roman" w:eastAsia="黑体" w:hAnsi="Times New Roman" w:cs="Times New Roman"/>
          <w:bCs/>
          <w:sz w:val="20"/>
          <w:szCs w:val="20"/>
        </w:rPr>
        <w:t>will be</w:t>
      </w:r>
      <w:r>
        <w:rPr>
          <w:rFonts w:ascii="Times New Roman" w:eastAsia="黑体" w:hAnsi="Times New Roman" w:cs="Times New Roman" w:hint="eastAsia"/>
          <w:bCs/>
          <w:sz w:val="20"/>
          <w:szCs w:val="20"/>
        </w:rPr>
        <w:t xml:space="preserve"> higher than UL SNR </w:t>
      </w:r>
      <w:r>
        <w:rPr>
          <w:rFonts w:ascii="Times New Roman" w:eastAsia="黑体" w:hAnsi="Times New Roman" w:cs="Times New Roman"/>
          <w:bCs/>
          <w:sz w:val="20"/>
          <w:szCs w:val="20"/>
        </w:rPr>
        <w:t>when</w:t>
      </w:r>
      <w:r>
        <w:rPr>
          <w:rFonts w:ascii="Times New Roman" w:eastAsia="黑体" w:hAnsi="Times New Roman" w:cs="Times New Roman" w:hint="eastAsia"/>
          <w:bCs/>
          <w:position w:val="-12"/>
          <w:sz w:val="20"/>
          <w:szCs w:val="20"/>
        </w:rPr>
        <w:object w:dxaOrig="814" w:dyaOrig="313" w14:anchorId="65868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5.8pt" o:ole="">
            <v:imagedata r:id="rId7" o:title=""/>
          </v:shape>
          <o:OLEObject Type="Embed" ProgID="Equation.KSEE3" ShapeID="_x0000_i1025" DrawAspect="Content" ObjectID="_1679242412" r:id="rId8"/>
        </w:object>
      </w:r>
      <w:r>
        <w:rPr>
          <w:rFonts w:ascii="Times New Roman" w:eastAsia="黑体" w:hAnsi="Times New Roman" w:cs="Times New Roman" w:hint="eastAsia"/>
          <w:bCs/>
          <w:sz w:val="20"/>
          <w:szCs w:val="20"/>
        </w:rPr>
        <w:t xml:space="preserve">, especially for GEO cases. As a result, throughput loss in DL due to HARQ stalling </w:t>
      </w:r>
      <w:r>
        <w:rPr>
          <w:rFonts w:ascii="Times New Roman" w:eastAsia="黑体" w:hAnsi="Times New Roman" w:cs="Times New Roman"/>
          <w:bCs/>
          <w:sz w:val="20"/>
          <w:szCs w:val="20"/>
        </w:rPr>
        <w:t>will occur</w:t>
      </w:r>
      <w:r>
        <w:rPr>
          <w:rFonts w:ascii="Times New Roman" w:eastAsia="黑体" w:hAnsi="Times New Roman" w:cs="Times New Roman" w:hint="eastAsia"/>
          <w:bCs/>
          <w:sz w:val="20"/>
          <w:szCs w:val="20"/>
        </w:rPr>
        <w:t>. For example, for 90 degree elevation angle in GEO, the maximum achievable throughput of NP</w:t>
      </w:r>
      <w:r>
        <w:rPr>
          <w:rFonts w:ascii="Times New Roman" w:eastAsia="黑体" w:hAnsi="Times New Roman" w:cs="Times New Roman"/>
          <w:bCs/>
          <w:sz w:val="20"/>
          <w:szCs w:val="20"/>
        </w:rPr>
        <w:t>D</w:t>
      </w:r>
      <w:r>
        <w:rPr>
          <w:rFonts w:ascii="Times New Roman" w:eastAsia="黑体" w:hAnsi="Times New Roman" w:cs="Times New Roman" w:hint="eastAsia"/>
          <w:bCs/>
          <w:sz w:val="20"/>
          <w:szCs w:val="20"/>
        </w:rPr>
        <w:t xml:space="preserve">SCH under the condition of BLER&lt;10% is shown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_Ref29289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4</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w:t>
      </w:r>
    </w:p>
    <w:p w:rsidR="006202DE" w:rsidRDefault="00D765A3">
      <w:pPr>
        <w:pStyle w:val="a3"/>
        <w:keepNext/>
        <w:ind w:leftChars="200" w:left="440"/>
        <w:rPr>
          <w:rFonts w:eastAsia="黑体"/>
          <w:lang w:val="en-US"/>
        </w:rPr>
      </w:pPr>
      <w:bookmarkStart w:id="4" w:name="_Ref29289"/>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4</w:t>
      </w:r>
      <w:r>
        <w:rPr>
          <w:rFonts w:hint="eastAsia"/>
          <w:b w:val="0"/>
          <w:lang w:val="en-US"/>
        </w:rPr>
        <w:fldChar w:fldCharType="end"/>
      </w:r>
      <w:bookmarkEnd w:id="4"/>
      <w:r>
        <w:rPr>
          <w:rFonts w:hint="eastAsia"/>
          <w:b w:val="0"/>
          <w:lang w:val="en-US"/>
        </w:rPr>
        <w:t xml:space="preserve"> Maximum throughput of NPDSCH with 90 degree elevation angle</w:t>
      </w:r>
      <w:r>
        <w:rPr>
          <w:b w:val="0"/>
          <w:lang w:val="en-US"/>
        </w:rPr>
        <w:t>,</w:t>
      </w:r>
      <w:r>
        <w:rPr>
          <w:rFonts w:eastAsia="黑体" w:hint="eastAsia"/>
          <w:position w:val="-12"/>
          <w:lang w:val="en-US"/>
        </w:rPr>
        <w:object w:dxaOrig="814" w:dyaOrig="313" w14:anchorId="6D6CA4AC">
          <v:shape id="_x0000_i1026" type="#_x0000_t75" style="width:40.8pt;height:15.8pt" o:ole="">
            <v:imagedata r:id="rId9" o:title=""/>
          </v:shape>
          <o:OLEObject Type="Embed" ProgID="Equation.KSEE3" ShapeID="_x0000_i1026" DrawAspect="Content" ObjectID="_1679242413" r:id="rId10"/>
        </w:object>
      </w:r>
      <w:proofErr w:type="gramStart"/>
      <w:r>
        <w:rPr>
          <w:rFonts w:hint="eastAsia"/>
          <w:b w:val="0"/>
          <w:lang w:val="en-US"/>
        </w:rPr>
        <w:t>,</w:t>
      </w:r>
      <w:proofErr w:type="gramEnd"/>
      <w:r>
        <w:rPr>
          <w:rFonts w:hint="eastAsia"/>
          <w:b w:val="0"/>
          <w:lang w:val="en-US"/>
        </w:rPr>
        <w:t xml:space="preserve"> </w:t>
      </w:r>
      <w:r>
        <w:rPr>
          <w:rFonts w:eastAsia="黑体" w:hint="eastAsia"/>
          <w:position w:val="-12"/>
          <w:lang w:val="en-US"/>
        </w:rPr>
        <w:object w:dxaOrig="814" w:dyaOrig="313" w14:anchorId="359F3B6E">
          <v:shape id="_x0000_i1027" type="#_x0000_t75" style="width:40.8pt;height:15.8pt" o:ole="">
            <v:imagedata r:id="rId7" o:title=""/>
          </v:shape>
          <o:OLEObject Type="Embed" ProgID="Equation.KSEE3" ShapeID="_x0000_i1027" DrawAspect="Content" ObjectID="_1679242414" r:id="rId11"/>
        </w:object>
      </w:r>
      <w:r>
        <w:rPr>
          <w:rFonts w:eastAsia="黑体" w:hint="eastAsia"/>
          <w:lang w:val="en-US"/>
        </w:rPr>
        <w:t xml:space="preserve"> </w:t>
      </w:r>
      <w:r>
        <w:rPr>
          <w:rFonts w:hint="eastAsia"/>
          <w:b w:val="0"/>
          <w:lang w:val="en-US"/>
        </w:rPr>
        <w:t>in GEO</w:t>
      </w:r>
    </w:p>
    <w:tbl>
      <w:tblPr>
        <w:tblW w:w="6688" w:type="dxa"/>
        <w:jc w:val="center"/>
        <w:tblLayout w:type="fixed"/>
        <w:tblCellMar>
          <w:left w:w="0" w:type="dxa"/>
          <w:right w:w="0" w:type="dxa"/>
        </w:tblCellMar>
        <w:tblLook w:val="04A0" w:firstRow="1" w:lastRow="0" w:firstColumn="1" w:lastColumn="0" w:noHBand="0" w:noVBand="1"/>
      </w:tblPr>
      <w:tblGrid>
        <w:gridCol w:w="2048"/>
        <w:gridCol w:w="930"/>
        <w:gridCol w:w="930"/>
        <w:gridCol w:w="930"/>
        <w:gridCol w:w="930"/>
        <w:gridCol w:w="920"/>
      </w:tblGrid>
      <w:tr w:rsidR="006202DE">
        <w:trPr>
          <w:trHeight w:val="51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黑体" w:hAnsi="Times New Roman" w:cs="Times New Roman"/>
                <w:bCs/>
                <w:position w:val="-14"/>
                <w:sz w:val="20"/>
                <w:szCs w:val="20"/>
              </w:rPr>
              <w:object w:dxaOrig="438" w:dyaOrig="363" w14:anchorId="4A2E0723">
                <v:shape id="_x0000_i1028" type="#_x0000_t75" style="width:22.05pt;height:18.75pt" o:ole="">
                  <v:imagedata r:id="rId12" o:title=""/>
                </v:shape>
                <o:OLEObject Type="Embed" ProgID="Equation.KSEE3" ShapeID="_x0000_i1028" DrawAspect="Content" ObjectID="_1679242415" r:id="rId13"/>
              </w:objec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2</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4</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8</w:t>
            </w:r>
          </w:p>
        </w:tc>
        <w:tc>
          <w:tcPr>
            <w:tcW w:w="9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16</w:t>
            </w:r>
          </w:p>
        </w:tc>
      </w:tr>
      <w:tr w:rsidR="006202DE">
        <w:trPr>
          <w:trHeight w:val="499"/>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95345D">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position w:val="-12"/>
                <w:sz w:val="20"/>
                <w:szCs w:val="20"/>
                <w:lang w:bidi="ar"/>
              </w:rPr>
              <w:object w:dxaOrig="1440" w:dyaOrig="1440" w14:anchorId="26221027">
                <v:shape id="_x0000_s1032" type="#_x0000_t75" style="position:absolute;left:0;text-align:left;margin-left:39.95pt;margin-top:12.95pt;width:21pt;height:18pt;z-index:-251658752;mso-wrap-distance-left:9pt;mso-wrap-distance-right:9pt;mso-position-horizontal-relative:text;mso-position-vertical-relative:text;mso-width-relative:page;mso-height-relative:page" wrapcoords="21592 -2 0 0 0 21600 21592 21602 8 21602 21600 21600 21600 0 8 -2 21592 -2">
                  <v:imagedata r:id="rId14" o:title=""/>
                  <w10:wrap type="tight"/>
                </v:shape>
                <o:OLEObject Type="Embed" ProgID="Equation.KSEE3" ShapeID="_x0000_s1032" DrawAspect="Content" ObjectID="_1679242435" r:id="rId15"/>
              </w:object>
            </w:r>
            <w:r w:rsidR="00D765A3">
              <w:rPr>
                <w:rFonts w:ascii="Times New Roman" w:eastAsia="宋体" w:hAnsi="Times New Roman" w:cs="Times New Roman"/>
                <w:color w:val="000000"/>
                <w:sz w:val="20"/>
                <w:szCs w:val="20"/>
                <w:lang w:bidi="ar"/>
              </w:rPr>
              <w:t>Max achievable</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0</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2</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6</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10</w:t>
            </w:r>
          </w:p>
        </w:tc>
        <w:tc>
          <w:tcPr>
            <w:tcW w:w="9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12</w:t>
            </w:r>
          </w:p>
        </w:tc>
      </w:tr>
      <w:tr w:rsidR="006202DE">
        <w:trPr>
          <w:trHeight w:val="60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lastRenderedPageBreak/>
              <w:t>Throughput of NP</w:t>
            </w:r>
            <w:r>
              <w:rPr>
                <w:rFonts w:ascii="Times New Roman" w:eastAsia="宋体" w:hAnsi="Times New Roman" w:cs="Times New Roman" w:hint="eastAsia"/>
                <w:color w:val="000000"/>
                <w:sz w:val="20"/>
                <w:szCs w:val="20"/>
                <w:lang w:bidi="ar"/>
              </w:rPr>
              <w:t>D</w:t>
            </w:r>
            <w:r>
              <w:rPr>
                <w:rFonts w:ascii="Times New Roman" w:eastAsia="宋体" w:hAnsi="Times New Roman" w:cs="Times New Roman"/>
                <w:color w:val="000000"/>
                <w:sz w:val="20"/>
                <w:szCs w:val="20"/>
                <w:lang w:bidi="ar"/>
              </w:rPr>
              <w:t>SCH</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25.6</w:t>
            </w:r>
            <w:r>
              <w:rPr>
                <w:rFonts w:ascii="Times New Roman" w:eastAsia="宋体" w:hAnsi="Times New Roman" w:cs="Times New Roman"/>
                <w:color w:val="000000"/>
                <w:sz w:val="20"/>
                <w:szCs w:val="20"/>
                <w:lang w:bidi="ar"/>
              </w:rPr>
              <w:t xml:space="preserve">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21.2</w:t>
            </w:r>
            <w:r>
              <w:rPr>
                <w:rFonts w:ascii="Times New Roman" w:eastAsia="宋体" w:hAnsi="Times New Roman" w:cs="Times New Roman"/>
                <w:color w:val="000000"/>
                <w:sz w:val="20"/>
                <w:szCs w:val="20"/>
                <w:lang w:bidi="ar"/>
              </w:rPr>
              <w:t xml:space="preserve">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25.8</w:t>
            </w:r>
            <w:r>
              <w:rPr>
                <w:rFonts w:ascii="Times New Roman" w:eastAsia="宋体" w:hAnsi="Times New Roman" w:cs="Times New Roman"/>
                <w:color w:val="000000"/>
                <w:sz w:val="20"/>
                <w:szCs w:val="20"/>
                <w:lang w:bidi="ar"/>
              </w:rPr>
              <w:t xml:space="preserve">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21.7</w:t>
            </w:r>
            <w:r>
              <w:rPr>
                <w:rFonts w:ascii="Times New Roman" w:eastAsia="宋体" w:hAnsi="Times New Roman" w:cs="Times New Roman"/>
                <w:color w:val="000000"/>
                <w:sz w:val="20"/>
                <w:szCs w:val="20"/>
                <w:lang w:bidi="ar"/>
              </w:rPr>
              <w:t xml:space="preserve"> kb/s</w:t>
            </w:r>
          </w:p>
        </w:tc>
        <w:tc>
          <w:tcPr>
            <w:tcW w:w="9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14.25</w:t>
            </w:r>
            <w:r>
              <w:rPr>
                <w:rFonts w:ascii="Times New Roman" w:eastAsia="宋体" w:hAnsi="Times New Roman" w:cs="Times New Roman"/>
                <w:color w:val="000000"/>
                <w:sz w:val="20"/>
                <w:szCs w:val="20"/>
                <w:lang w:bidi="ar"/>
              </w:rPr>
              <w:t xml:space="preserve"> kb/s</w:t>
            </w:r>
          </w:p>
        </w:tc>
      </w:tr>
    </w:tbl>
    <w:p w:rsidR="006202DE" w:rsidRDefault="00D765A3">
      <w:pPr>
        <w:spacing w:beforeLines="50" w:before="120" w:line="240" w:lineRule="auto"/>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From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_Ref29289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4</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xml:space="preserve">, it can be </w:t>
      </w:r>
      <w:r>
        <w:rPr>
          <w:rFonts w:ascii="Times New Roman" w:eastAsia="黑体" w:hAnsi="Times New Roman" w:cs="Times New Roman"/>
          <w:bCs/>
          <w:sz w:val="20"/>
          <w:szCs w:val="20"/>
        </w:rPr>
        <w:t>observed</w:t>
      </w:r>
      <w:r>
        <w:rPr>
          <w:rFonts w:ascii="Times New Roman" w:eastAsia="黑体" w:hAnsi="Times New Roman" w:cs="Times New Roman" w:hint="eastAsia"/>
          <w:bCs/>
          <w:sz w:val="20"/>
          <w:szCs w:val="20"/>
        </w:rPr>
        <w:t xml:space="preserve"> that </w:t>
      </w:r>
      <w:r w:rsidR="00D57CDF">
        <w:rPr>
          <w:rFonts w:ascii="Times New Roman" w:eastAsia="黑体" w:hAnsi="Times New Roman" w:cs="Times New Roman"/>
          <w:bCs/>
          <w:sz w:val="20"/>
          <w:szCs w:val="20"/>
        </w:rPr>
        <w:t>better performance can be achieved with moderate repetition number for transmission</w:t>
      </w:r>
      <w:r>
        <w:rPr>
          <w:rFonts w:ascii="Times New Roman" w:eastAsia="黑体" w:hAnsi="Times New Roman" w:cs="Times New Roman" w:hint="eastAsia"/>
          <w:bCs/>
          <w:sz w:val="20"/>
          <w:szCs w:val="20"/>
        </w:rPr>
        <w:t xml:space="preserve">. In this case, </w:t>
      </w:r>
      <w:r w:rsidR="00E80850">
        <w:rPr>
          <w:rFonts w:ascii="Times New Roman" w:eastAsia="黑体" w:hAnsi="Times New Roman" w:cs="Times New Roman"/>
          <w:bCs/>
          <w:sz w:val="20"/>
          <w:szCs w:val="20"/>
        </w:rPr>
        <w:t xml:space="preserve">required transmission time for each duration is much shorter than RTT and </w:t>
      </w:r>
      <w:r w:rsidR="00D57CDF">
        <w:rPr>
          <w:rFonts w:ascii="Times New Roman" w:eastAsia="黑体" w:hAnsi="Times New Roman" w:cs="Times New Roman"/>
          <w:bCs/>
          <w:sz w:val="20"/>
          <w:szCs w:val="20"/>
        </w:rPr>
        <w:t xml:space="preserve">there is still rooms to improve the throughput for IoT </w:t>
      </w:r>
      <w:r>
        <w:rPr>
          <w:rFonts w:ascii="Times New Roman" w:eastAsia="黑体" w:hAnsi="Times New Roman" w:cs="Times New Roman" w:hint="eastAsia"/>
          <w:bCs/>
          <w:sz w:val="20"/>
          <w:szCs w:val="20"/>
        </w:rPr>
        <w:t xml:space="preserve">over NTN </w:t>
      </w:r>
      <w:r w:rsidR="00D57CDF">
        <w:rPr>
          <w:rFonts w:ascii="Times New Roman" w:eastAsia="黑体" w:hAnsi="Times New Roman" w:cs="Times New Roman"/>
          <w:bCs/>
          <w:sz w:val="20"/>
          <w:szCs w:val="20"/>
        </w:rPr>
        <w:t xml:space="preserve">by addressing the </w:t>
      </w:r>
      <w:r>
        <w:rPr>
          <w:rFonts w:ascii="Times New Roman" w:eastAsia="黑体" w:hAnsi="Times New Roman" w:cs="Times New Roman" w:hint="eastAsia"/>
          <w:bCs/>
          <w:sz w:val="20"/>
          <w:szCs w:val="20"/>
        </w:rPr>
        <w:t>HARQ stalling</w:t>
      </w:r>
      <w:r w:rsidR="00E80850">
        <w:rPr>
          <w:rFonts w:ascii="Times New Roman" w:eastAsia="黑体" w:hAnsi="Times New Roman" w:cs="Times New Roman"/>
          <w:bCs/>
          <w:sz w:val="20"/>
          <w:szCs w:val="20"/>
        </w:rPr>
        <w:t xml:space="preserve"> in cases with either 2 or 4 HARQ process.</w:t>
      </w:r>
    </w:p>
    <w:p w:rsidR="006202DE" w:rsidRDefault="00D765A3">
      <w:pPr>
        <w:spacing w:beforeLines="50" w:before="120" w:line="240" w:lineRule="auto"/>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W.r.t eMTC, </w:t>
      </w:r>
      <w:r w:rsidR="00635689">
        <w:rPr>
          <w:rFonts w:ascii="Times New Roman" w:eastAsia="黑体" w:hAnsi="Times New Roman" w:cs="Times New Roman"/>
          <w:bCs/>
          <w:sz w:val="20"/>
          <w:szCs w:val="20"/>
        </w:rPr>
        <w:t xml:space="preserve">similar observation can be </w:t>
      </w:r>
      <w:r w:rsidR="00E24D0D">
        <w:rPr>
          <w:rFonts w:ascii="Times New Roman" w:eastAsia="黑体" w:hAnsi="Times New Roman" w:cs="Times New Roman"/>
          <w:bCs/>
          <w:sz w:val="20"/>
          <w:szCs w:val="20"/>
        </w:rPr>
        <w:t>achieved</w:t>
      </w:r>
      <w:r w:rsidR="00635689">
        <w:rPr>
          <w:rFonts w:ascii="Times New Roman" w:eastAsia="黑体" w:hAnsi="Times New Roman" w:cs="Times New Roman"/>
          <w:bCs/>
          <w:sz w:val="20"/>
          <w:szCs w:val="20"/>
        </w:rPr>
        <w:t xml:space="preserve"> since transmission duration with consideration of repetition will be even shorter than NB-IoT.</w:t>
      </w:r>
      <w:r>
        <w:rPr>
          <w:rFonts w:ascii="Times New Roman" w:eastAsia="黑体" w:hAnsi="Times New Roman" w:cs="Times New Roman" w:hint="eastAsia"/>
          <w:bCs/>
          <w:sz w:val="20"/>
          <w:szCs w:val="20"/>
        </w:rPr>
        <w:t xml:space="preserve"> </w:t>
      </w:r>
      <w:r w:rsidR="00C66B98">
        <w:rPr>
          <w:rFonts w:ascii="Times New Roman" w:eastAsia="黑体" w:hAnsi="Times New Roman" w:cs="Times New Roman"/>
          <w:bCs/>
          <w:sz w:val="20"/>
          <w:szCs w:val="20"/>
        </w:rPr>
        <w:t>More specifically, e</w:t>
      </w:r>
      <w:r>
        <w:rPr>
          <w:rFonts w:ascii="Times New Roman" w:eastAsia="黑体" w:hAnsi="Times New Roman" w:cs="Times New Roman" w:hint="eastAsia"/>
          <w:bCs/>
          <w:sz w:val="20"/>
          <w:szCs w:val="20"/>
        </w:rPr>
        <w:t xml:space="preserve">ven in LEO, HARQ stalling could </w:t>
      </w:r>
      <w:r w:rsidR="00E22F8C">
        <w:rPr>
          <w:rFonts w:ascii="Times New Roman" w:eastAsia="黑体" w:hAnsi="Times New Roman" w:cs="Times New Roman"/>
          <w:bCs/>
          <w:sz w:val="20"/>
          <w:szCs w:val="20"/>
        </w:rPr>
        <w:t xml:space="preserve">also </w:t>
      </w:r>
      <w:r w:rsidR="00EC3CE2">
        <w:rPr>
          <w:rFonts w:ascii="Times New Roman" w:eastAsia="黑体" w:hAnsi="Times New Roman" w:cs="Times New Roman"/>
          <w:bCs/>
          <w:sz w:val="20"/>
          <w:szCs w:val="20"/>
        </w:rPr>
        <w:t xml:space="preserve">occur in </w:t>
      </w:r>
      <w:r>
        <w:rPr>
          <w:rFonts w:ascii="Times New Roman" w:eastAsia="黑体" w:hAnsi="Times New Roman" w:cs="Times New Roman" w:hint="eastAsia"/>
          <w:bCs/>
          <w:sz w:val="20"/>
          <w:szCs w:val="20"/>
        </w:rPr>
        <w:t xml:space="preserve">CEmodeB where 2 HARQ processes are assumed. For example, for 90 degree elevation angle in LEO-600, the required repetition number is 1, i.e., the time length of PDSCH is 1ms, which is much shorter than 16.88 ms RTT and throughput </w:t>
      </w:r>
      <w:r w:rsidR="00EB3820">
        <w:rPr>
          <w:rFonts w:ascii="Times New Roman" w:eastAsia="黑体" w:hAnsi="Times New Roman" w:cs="Times New Roman"/>
          <w:bCs/>
          <w:sz w:val="20"/>
          <w:szCs w:val="20"/>
        </w:rPr>
        <w:t xml:space="preserve">is degraded </w:t>
      </w:r>
      <w:r>
        <w:rPr>
          <w:rFonts w:ascii="Times New Roman" w:eastAsia="黑体" w:hAnsi="Times New Roman" w:cs="Times New Roman" w:hint="eastAsia"/>
          <w:bCs/>
          <w:sz w:val="20"/>
          <w:szCs w:val="20"/>
        </w:rPr>
        <w:t>due to HARQ stalling in CEmodeB.</w:t>
      </w:r>
    </w:p>
    <w:p w:rsidR="006202DE" w:rsidRDefault="00D765A3">
      <w:pPr>
        <w:rPr>
          <w:rFonts w:ascii="Times New Roman" w:hAnsi="Times New Roman" w:cs="Times New Roman"/>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1: </w:t>
      </w:r>
      <w:r>
        <w:rPr>
          <w:rFonts w:ascii="Times New Roman" w:hAnsi="Times New Roman" w:cs="Times New Roman" w:hint="eastAsia"/>
          <w:i/>
          <w:iCs/>
          <w:sz w:val="20"/>
          <w:szCs w:val="20"/>
        </w:rPr>
        <w:t>The maximum throughput in DL of IoT-NTN is reduced due to HARQ stalling.</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HARQ stalling in UL</w:t>
      </w:r>
    </w:p>
    <w:p w:rsidR="006202DE" w:rsidRDefault="00D765A3">
      <w:pPr>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For UL, the </w:t>
      </w:r>
      <w:r w:rsidR="00AC30B8">
        <w:rPr>
          <w:rFonts w:ascii="Times New Roman" w:eastAsia="黑体" w:hAnsi="Times New Roman" w:cs="Times New Roman"/>
          <w:bCs/>
          <w:sz w:val="20"/>
          <w:szCs w:val="20"/>
        </w:rPr>
        <w:t xml:space="preserve">throughput is mainly determined by the </w:t>
      </w:r>
      <w:r>
        <w:rPr>
          <w:rFonts w:ascii="Times New Roman" w:eastAsia="黑体" w:hAnsi="Times New Roman" w:cs="Times New Roman" w:hint="eastAsia"/>
          <w:bCs/>
          <w:sz w:val="20"/>
          <w:szCs w:val="20"/>
        </w:rPr>
        <w:t>link budget</w:t>
      </w:r>
      <w:r w:rsidR="00AC30B8">
        <w:rPr>
          <w:rFonts w:ascii="Times New Roman" w:eastAsia="黑体" w:hAnsi="Times New Roman" w:cs="Times New Roman"/>
          <w:bCs/>
          <w:sz w:val="20"/>
          <w:szCs w:val="20"/>
        </w:rPr>
        <w:t xml:space="preserve"> to achieve the reasonable </w:t>
      </w:r>
      <w:proofErr w:type="spellStart"/>
      <w:r w:rsidR="00AC30B8">
        <w:rPr>
          <w:rFonts w:ascii="Times New Roman" w:eastAsia="黑体" w:hAnsi="Times New Roman" w:cs="Times New Roman"/>
          <w:bCs/>
          <w:sz w:val="20"/>
          <w:szCs w:val="20"/>
        </w:rPr>
        <w:t>coderate</w:t>
      </w:r>
      <w:proofErr w:type="spellEnd"/>
      <w:r w:rsidR="00AC30B8">
        <w:rPr>
          <w:rFonts w:ascii="Times New Roman" w:eastAsia="黑体" w:hAnsi="Times New Roman" w:cs="Times New Roman"/>
          <w:bCs/>
          <w:sz w:val="20"/>
          <w:szCs w:val="20"/>
        </w:rPr>
        <w:t xml:space="preserve"> and overall allocated resource for one TB</w:t>
      </w:r>
      <w:r w:rsidR="007F5009">
        <w:rPr>
          <w:rFonts w:ascii="Times New Roman" w:eastAsia="黑体" w:hAnsi="Times New Roman" w:cs="Times New Roman"/>
          <w:bCs/>
          <w:sz w:val="20"/>
          <w:szCs w:val="20"/>
        </w:rPr>
        <w:t xml:space="preserve"> including the configuration for repetition</w:t>
      </w:r>
      <w:r w:rsidR="00AC30B8">
        <w:rPr>
          <w:rFonts w:ascii="Times New Roman" w:eastAsia="黑体" w:hAnsi="Times New Roman" w:cs="Times New Roman"/>
          <w:bCs/>
          <w:sz w:val="20"/>
          <w:szCs w:val="20"/>
        </w:rPr>
        <w:t>.</w:t>
      </w:r>
      <w:r>
        <w:rPr>
          <w:rFonts w:ascii="Times New Roman" w:eastAsia="黑体" w:hAnsi="Times New Roman" w:cs="Times New Roman" w:hint="eastAsia"/>
          <w:bCs/>
          <w:sz w:val="20"/>
          <w:szCs w:val="20"/>
        </w:rPr>
        <w:t xml:space="preserve"> </w:t>
      </w:r>
      <w:r w:rsidR="007F5009">
        <w:rPr>
          <w:rFonts w:ascii="Times New Roman" w:eastAsia="黑体" w:hAnsi="Times New Roman" w:cs="Times New Roman"/>
          <w:bCs/>
          <w:sz w:val="20"/>
          <w:szCs w:val="20"/>
        </w:rPr>
        <w:t>More specifically, w</w:t>
      </w:r>
      <w:r>
        <w:rPr>
          <w:rFonts w:ascii="Times New Roman" w:eastAsia="黑体" w:hAnsi="Times New Roman" w:cs="Times New Roman" w:hint="eastAsia"/>
          <w:bCs/>
          <w:sz w:val="20"/>
          <w:szCs w:val="20"/>
        </w:rPr>
        <w:t xml:space="preserve">hen </w:t>
      </w:r>
      <w:r w:rsidR="005F7C0D">
        <w:rPr>
          <w:rFonts w:ascii="Times New Roman" w:eastAsia="黑体" w:hAnsi="Times New Roman" w:cs="Times New Roman"/>
          <w:bCs/>
          <w:sz w:val="20"/>
          <w:szCs w:val="20"/>
        </w:rPr>
        <w:t>the allocated in frequency domain</w:t>
      </w:r>
      <w:r w:rsidR="005F7C0D">
        <w:rPr>
          <w:rFonts w:ascii="Times New Roman" w:eastAsia="黑体" w:hAnsi="Times New Roman" w:cs="Times New Roman" w:hint="eastAsia"/>
          <w:bCs/>
          <w:sz w:val="20"/>
          <w:szCs w:val="20"/>
        </w:rPr>
        <w:t xml:space="preserve"> </w:t>
      </w:r>
      <w:r>
        <w:rPr>
          <w:rFonts w:ascii="Times New Roman" w:eastAsia="黑体" w:hAnsi="Times New Roman" w:cs="Times New Roman" w:hint="eastAsia"/>
          <w:bCs/>
          <w:sz w:val="20"/>
          <w:szCs w:val="20"/>
        </w:rPr>
        <w:t xml:space="preserve">is reduced, the achievable SNR </w:t>
      </w:r>
      <w:r w:rsidR="00AC30B8">
        <w:rPr>
          <w:rFonts w:ascii="Times New Roman" w:eastAsia="黑体" w:hAnsi="Times New Roman" w:cs="Times New Roman"/>
          <w:bCs/>
          <w:sz w:val="20"/>
          <w:szCs w:val="20"/>
        </w:rPr>
        <w:t>can be</w:t>
      </w:r>
      <w:r>
        <w:rPr>
          <w:rFonts w:ascii="Times New Roman" w:eastAsia="黑体" w:hAnsi="Times New Roman" w:cs="Times New Roman" w:hint="eastAsia"/>
          <w:bCs/>
          <w:sz w:val="20"/>
          <w:szCs w:val="20"/>
        </w:rPr>
        <w:t xml:space="preserve"> </w:t>
      </w:r>
      <w:r w:rsidR="005F7C0D">
        <w:rPr>
          <w:rFonts w:ascii="Times New Roman" w:eastAsia="黑体" w:hAnsi="Times New Roman" w:cs="Times New Roman"/>
          <w:bCs/>
          <w:sz w:val="20"/>
          <w:szCs w:val="20"/>
        </w:rPr>
        <w:t>improved, which will lead to the less repetition number</w:t>
      </w:r>
      <w:r>
        <w:rPr>
          <w:rFonts w:ascii="Times New Roman" w:eastAsia="黑体" w:hAnsi="Times New Roman" w:cs="Times New Roman" w:hint="eastAsia"/>
          <w:bCs/>
          <w:sz w:val="20"/>
          <w:szCs w:val="20"/>
        </w:rPr>
        <w:t xml:space="preserve">. </w:t>
      </w:r>
      <w:r w:rsidR="005F7C0D">
        <w:rPr>
          <w:rFonts w:ascii="Times New Roman" w:eastAsia="黑体" w:hAnsi="Times New Roman" w:cs="Times New Roman"/>
          <w:bCs/>
          <w:sz w:val="20"/>
          <w:szCs w:val="20"/>
        </w:rPr>
        <w:t>O</w:t>
      </w:r>
      <w:r>
        <w:rPr>
          <w:rFonts w:ascii="Times New Roman" w:eastAsia="黑体" w:hAnsi="Times New Roman" w:cs="Times New Roman" w:hint="eastAsia"/>
          <w:bCs/>
          <w:sz w:val="20"/>
          <w:szCs w:val="20"/>
        </w:rPr>
        <w:t xml:space="preserve">n the other hand, the time length of one repetition should be </w:t>
      </w:r>
      <w:r w:rsidR="005F7C0D">
        <w:rPr>
          <w:rFonts w:ascii="Times New Roman" w:eastAsia="黑体" w:hAnsi="Times New Roman" w:cs="Times New Roman"/>
          <w:bCs/>
          <w:sz w:val="20"/>
          <w:szCs w:val="20"/>
        </w:rPr>
        <w:t>enlarged</w:t>
      </w:r>
      <w:r w:rsidR="005F7C0D">
        <w:rPr>
          <w:rFonts w:ascii="Times New Roman" w:eastAsia="黑体" w:hAnsi="Times New Roman" w:cs="Times New Roman" w:hint="eastAsia"/>
          <w:bCs/>
          <w:sz w:val="20"/>
          <w:szCs w:val="20"/>
        </w:rPr>
        <w:t xml:space="preserve"> </w:t>
      </w:r>
      <w:r>
        <w:rPr>
          <w:rFonts w:ascii="Times New Roman" w:eastAsia="黑体" w:hAnsi="Times New Roman" w:cs="Times New Roman" w:hint="eastAsia"/>
          <w:bCs/>
          <w:sz w:val="20"/>
          <w:szCs w:val="20"/>
        </w:rPr>
        <w:t xml:space="preserve">to provide same number of resource elements </w:t>
      </w:r>
      <w:r w:rsidR="005F7C0D">
        <w:rPr>
          <w:rFonts w:ascii="Times New Roman" w:eastAsia="黑体" w:hAnsi="Times New Roman" w:cs="Times New Roman"/>
          <w:bCs/>
          <w:sz w:val="20"/>
          <w:szCs w:val="20"/>
        </w:rPr>
        <w:t>for keeping same</w:t>
      </w:r>
      <w:r>
        <w:rPr>
          <w:rFonts w:ascii="Times New Roman" w:eastAsia="黑体" w:hAnsi="Times New Roman" w:cs="Times New Roman" w:hint="eastAsia"/>
          <w:bCs/>
          <w:sz w:val="20"/>
          <w:szCs w:val="20"/>
        </w:rPr>
        <w:t xml:space="preserve"> </w:t>
      </w:r>
      <w:proofErr w:type="spellStart"/>
      <w:r>
        <w:rPr>
          <w:rFonts w:ascii="Times New Roman" w:eastAsia="黑体" w:hAnsi="Times New Roman" w:cs="Times New Roman" w:hint="eastAsia"/>
          <w:bCs/>
          <w:sz w:val="20"/>
          <w:szCs w:val="20"/>
        </w:rPr>
        <w:t>coderate</w:t>
      </w:r>
      <w:proofErr w:type="spellEnd"/>
      <w:r>
        <w:rPr>
          <w:rFonts w:ascii="Times New Roman" w:eastAsia="黑体" w:hAnsi="Times New Roman" w:cs="Times New Roman" w:hint="eastAsia"/>
          <w:bCs/>
          <w:sz w:val="20"/>
          <w:szCs w:val="20"/>
        </w:rPr>
        <w:t xml:space="preserve"> for </w:t>
      </w:r>
      <w:r w:rsidR="005F7C0D">
        <w:rPr>
          <w:rFonts w:ascii="Times New Roman" w:eastAsia="黑体" w:hAnsi="Times New Roman" w:cs="Times New Roman"/>
          <w:bCs/>
          <w:sz w:val="20"/>
          <w:szCs w:val="20"/>
        </w:rPr>
        <w:t>fixed</w:t>
      </w:r>
      <w:r w:rsidR="005F7C0D">
        <w:rPr>
          <w:rFonts w:ascii="Times New Roman" w:eastAsia="黑体" w:hAnsi="Times New Roman" w:cs="Times New Roman" w:hint="eastAsia"/>
          <w:bCs/>
          <w:sz w:val="20"/>
          <w:szCs w:val="20"/>
        </w:rPr>
        <w:t xml:space="preserve"> </w:t>
      </w:r>
      <w:r>
        <w:rPr>
          <w:rFonts w:ascii="Times New Roman" w:eastAsia="黑体" w:hAnsi="Times New Roman" w:cs="Times New Roman" w:hint="eastAsia"/>
          <w:bCs/>
          <w:sz w:val="20"/>
          <w:szCs w:val="20"/>
        </w:rPr>
        <w:t>TBS</w:t>
      </w:r>
      <w:r w:rsidR="005F7C0D">
        <w:rPr>
          <w:rFonts w:ascii="Times New Roman" w:eastAsia="黑体" w:hAnsi="Times New Roman" w:cs="Times New Roman"/>
          <w:bCs/>
          <w:sz w:val="20"/>
          <w:szCs w:val="20"/>
        </w:rPr>
        <w:t xml:space="preserve"> (e.g., which is essential for effective throughput)</w:t>
      </w:r>
      <w:r>
        <w:rPr>
          <w:rFonts w:ascii="Times New Roman" w:eastAsia="黑体" w:hAnsi="Times New Roman" w:cs="Times New Roman" w:hint="eastAsia"/>
          <w:bCs/>
          <w:sz w:val="20"/>
          <w:szCs w:val="20"/>
        </w:rPr>
        <w:t xml:space="preserve">. </w:t>
      </w:r>
      <w:r w:rsidR="005F7C0D">
        <w:rPr>
          <w:rFonts w:ascii="Times New Roman" w:eastAsia="黑体" w:hAnsi="Times New Roman" w:cs="Times New Roman"/>
          <w:bCs/>
          <w:sz w:val="20"/>
          <w:szCs w:val="20"/>
        </w:rPr>
        <w:t xml:space="preserve">In this section, </w:t>
      </w:r>
      <w:r>
        <w:rPr>
          <w:rFonts w:ascii="Times New Roman" w:eastAsia="黑体" w:hAnsi="Times New Roman" w:cs="Times New Roman" w:hint="eastAsia"/>
          <w:bCs/>
          <w:sz w:val="20"/>
          <w:szCs w:val="20"/>
        </w:rPr>
        <w:t>12 subcarriers case (</w:t>
      </w:r>
      <w:r>
        <w:rPr>
          <w:rFonts w:ascii="Times New Roman" w:eastAsia="黑体" w:hAnsi="Times New Roman" w:cs="Times New Roman" w:hint="eastAsia"/>
          <w:bCs/>
          <w:position w:val="-12"/>
          <w:sz w:val="20"/>
          <w:szCs w:val="20"/>
        </w:rPr>
        <w:object w:dxaOrig="914" w:dyaOrig="363" w14:anchorId="011837C4">
          <v:shape id="_x0000_i1029" type="#_x0000_t75" style="width:46.2pt;height:18.75pt" o:ole="">
            <v:imagedata r:id="rId7" o:title=""/>
          </v:shape>
          <o:OLEObject Type="Embed" ProgID="Equation.KSEE3" ShapeID="_x0000_i1029" DrawAspect="Content" ObjectID="_1679242416" r:id="rId16"/>
        </w:object>
      </w:r>
      <w:r>
        <w:rPr>
          <w:rFonts w:ascii="Times New Roman" w:eastAsia="黑体" w:hAnsi="Times New Roman" w:cs="Times New Roman" w:hint="eastAsia"/>
          <w:bCs/>
          <w:sz w:val="20"/>
          <w:szCs w:val="20"/>
        </w:rPr>
        <w:t xml:space="preserve">) is mainly considered for simplicity. Based on the Set-1 parameters agreed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_Ref26477 \n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xml:space="preserve">, the maximum achievable SNR and RTT are calculated and summarized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_Ref24634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1</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w:t>
      </w:r>
    </w:p>
    <w:p w:rsidR="006202DE" w:rsidRDefault="00D765A3">
      <w:pPr>
        <w:pStyle w:val="a3"/>
        <w:keepNext/>
        <w:ind w:leftChars="200" w:left="440"/>
        <w:rPr>
          <w:rFonts w:eastAsia="黑体"/>
          <w:lang w:val="en-US"/>
        </w:rPr>
      </w:pPr>
      <w:bookmarkStart w:id="5" w:name="_Ref24634"/>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5"/>
      <w:r>
        <w:rPr>
          <w:rFonts w:hint="eastAsia"/>
          <w:b w:val="0"/>
          <w:lang w:val="en-US"/>
        </w:rPr>
        <w:t xml:space="preserve"> Maximum SNR and RTT for NB-IoT over NTN with Set-1 parameters and </w:t>
      </w:r>
      <w:r>
        <w:rPr>
          <w:rFonts w:eastAsia="黑体" w:hint="eastAsia"/>
          <w:position w:val="-12"/>
          <w:lang w:val="en-US"/>
        </w:rPr>
        <w:object w:dxaOrig="814" w:dyaOrig="313" w14:anchorId="686BEBE8">
          <v:shape id="_x0000_i1030" type="#_x0000_t75" style="width:40.8pt;height:15.8pt" o:ole="">
            <v:imagedata r:id="rId7" o:title=""/>
          </v:shape>
          <o:OLEObject Type="Embed" ProgID="Equation.KSEE3" ShapeID="_x0000_i1030" DrawAspect="Content" ObjectID="_1679242417" r:id="rId17"/>
        </w:object>
      </w:r>
    </w:p>
    <w:tbl>
      <w:tblPr>
        <w:tblW w:w="9390" w:type="dxa"/>
        <w:tblLayout w:type="fixed"/>
        <w:tblCellMar>
          <w:left w:w="0" w:type="dxa"/>
          <w:right w:w="0" w:type="dxa"/>
        </w:tblCellMar>
        <w:tblLook w:val="04A0" w:firstRow="1" w:lastRow="0" w:firstColumn="1" w:lastColumn="0" w:noHBand="0" w:noVBand="1"/>
      </w:tblPr>
      <w:tblGrid>
        <w:gridCol w:w="1726"/>
        <w:gridCol w:w="1277"/>
        <w:gridCol w:w="1277"/>
        <w:gridCol w:w="1277"/>
        <w:gridCol w:w="1277"/>
        <w:gridCol w:w="1276"/>
        <w:gridCol w:w="1280"/>
      </w:tblGrid>
      <w:tr w:rsidR="006202DE">
        <w:trPr>
          <w:trHeight w:val="174"/>
        </w:trPr>
        <w:tc>
          <w:tcPr>
            <w:tcW w:w="17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elevation angle</w:t>
            </w:r>
          </w:p>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LEO-600</w:t>
            </w:r>
          </w:p>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LEO-1200</w:t>
            </w:r>
          </w:p>
        </w:tc>
        <w:tc>
          <w:tcPr>
            <w:tcW w:w="2556"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GEO</w:t>
            </w:r>
          </w:p>
        </w:tc>
      </w:tr>
      <w:tr w:rsidR="006202DE">
        <w:trPr>
          <w:trHeight w:val="384"/>
        </w:trPr>
        <w:tc>
          <w:tcPr>
            <w:tcW w:w="172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6202DE">
            <w:pPr>
              <w:jc w:val="center"/>
              <w:rPr>
                <w:rFonts w:ascii="Times New Roman" w:eastAsia="宋体" w:hAnsi="Times New Roman" w:cs="Times New Roman"/>
                <w:color w:val="000000"/>
                <w:sz w:val="20"/>
                <w:szCs w:val="20"/>
              </w:rPr>
            </w:pPr>
          </w:p>
        </w:tc>
        <w:tc>
          <w:tcPr>
            <w:tcW w:w="127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c>
          <w:tcPr>
            <w:tcW w:w="127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c>
          <w:tcPr>
            <w:tcW w:w="127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SNR(dB)</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Max RTT(ms)</w:t>
            </w:r>
          </w:p>
        </w:tc>
      </w:tr>
      <w:tr w:rsidR="006202DE">
        <w:trPr>
          <w:trHeight w:val="189"/>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90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1.88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16.88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-4.14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28.87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-15.73</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509.11</w:t>
            </w:r>
          </w:p>
        </w:tc>
      </w:tr>
      <w:tr w:rsidR="006202DE">
        <w:trPr>
          <w:trHeight w:val="339"/>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30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-3.22</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20.04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-8.61</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34.2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-16.43</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527.93</w:t>
            </w:r>
          </w:p>
        </w:tc>
      </w:tr>
      <w:tr w:rsidR="006202DE">
        <w:trPr>
          <w:trHeight w:val="285"/>
        </w:trPr>
        <w:tc>
          <w:tcPr>
            <w:tcW w:w="17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 xml:space="preserve">10 </w:t>
            </w:r>
            <w:proofErr w:type="spellStart"/>
            <w:r>
              <w:rPr>
                <w:rFonts w:ascii="Times New Roman" w:eastAsia="宋体" w:hAnsi="Times New Roman" w:cs="Times New Roman"/>
                <w:color w:val="000000"/>
                <w:sz w:val="20"/>
                <w:szCs w:val="20"/>
                <w:lang w:bidi="ar"/>
              </w:rPr>
              <w:t>deg</w:t>
            </w:r>
            <w:proofErr w:type="spellEnd"/>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-8.44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25.75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-12.64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41.75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-16.99</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bidi="ar"/>
              </w:rPr>
              <w:t>541.08</w:t>
            </w:r>
          </w:p>
        </w:tc>
      </w:tr>
    </w:tbl>
    <w:p w:rsidR="006202DE" w:rsidRDefault="00D765A3" w:rsidP="00EA7005">
      <w:pPr>
        <w:spacing w:beforeLines="50" w:before="120" w:line="240" w:lineRule="auto"/>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For 90 degree elevation angle in LEO-600, the maximum achievable throughput of NPUSCH under the condition of BLER&lt;10% is </w:t>
      </w:r>
      <w:r w:rsidR="0073676B">
        <w:rPr>
          <w:rFonts w:ascii="Times New Roman" w:eastAsia="黑体" w:hAnsi="Times New Roman" w:cs="Times New Roman"/>
          <w:bCs/>
          <w:sz w:val="20"/>
          <w:szCs w:val="20"/>
        </w:rPr>
        <w:t>listed</w:t>
      </w:r>
      <w:r w:rsidR="0073676B">
        <w:rPr>
          <w:rFonts w:ascii="Times New Roman" w:eastAsia="黑体" w:hAnsi="Times New Roman" w:cs="Times New Roman" w:hint="eastAsia"/>
          <w:bCs/>
          <w:sz w:val="20"/>
          <w:szCs w:val="20"/>
        </w:rPr>
        <w:t xml:space="preserve"> </w:t>
      </w:r>
      <w:r>
        <w:rPr>
          <w:rFonts w:ascii="Times New Roman" w:eastAsia="黑体" w:hAnsi="Times New Roman" w:cs="Times New Roman" w:hint="eastAsia"/>
          <w:bCs/>
          <w:sz w:val="20"/>
          <w:szCs w:val="20"/>
        </w:rPr>
        <w:t xml:space="preserve">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_Ref28112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w:t>
      </w:r>
    </w:p>
    <w:p w:rsidR="006202DE" w:rsidRDefault="00D765A3">
      <w:pPr>
        <w:pStyle w:val="a3"/>
        <w:keepNext/>
        <w:ind w:leftChars="100" w:left="220"/>
        <w:rPr>
          <w:rFonts w:eastAsia="黑体"/>
          <w:lang w:val="en-US"/>
        </w:rPr>
      </w:pPr>
      <w:bookmarkStart w:id="6" w:name="_Ref28112"/>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2</w:t>
      </w:r>
      <w:r>
        <w:rPr>
          <w:rFonts w:hint="eastAsia"/>
          <w:b w:val="0"/>
          <w:lang w:val="en-US"/>
        </w:rPr>
        <w:fldChar w:fldCharType="end"/>
      </w:r>
      <w:bookmarkEnd w:id="6"/>
      <w:r>
        <w:rPr>
          <w:rFonts w:hint="eastAsia"/>
          <w:b w:val="0"/>
          <w:lang w:val="en-US"/>
        </w:rPr>
        <w:t xml:space="preserve"> Maximum throughput of NPUSCH with 90 degree elevation angle</w:t>
      </w:r>
      <w:r w:rsidR="0073676B">
        <w:rPr>
          <w:b w:val="0"/>
          <w:lang w:val="en-US"/>
        </w:rPr>
        <w:t>,</w:t>
      </w:r>
      <w:r>
        <w:rPr>
          <w:rFonts w:eastAsia="黑体" w:hint="eastAsia"/>
          <w:position w:val="-12"/>
          <w:lang w:val="en-US"/>
        </w:rPr>
        <w:object w:dxaOrig="851" w:dyaOrig="313" w14:anchorId="31172527">
          <v:shape id="_x0000_i1031" type="#_x0000_t75" style="width:42.85pt;height:15.8pt" o:ole="">
            <v:imagedata r:id="rId18" o:title=""/>
          </v:shape>
          <o:OLEObject Type="Embed" ProgID="Equation.KSEE3" ShapeID="_x0000_i1031" DrawAspect="Content" ObjectID="_1679242418" r:id="rId19"/>
        </w:object>
      </w:r>
      <w:proofErr w:type="gramStart"/>
      <w:r>
        <w:rPr>
          <w:rFonts w:hint="eastAsia"/>
          <w:b w:val="0"/>
          <w:lang w:val="en-US"/>
        </w:rPr>
        <w:t>,</w:t>
      </w:r>
      <w:proofErr w:type="gramEnd"/>
      <w:r>
        <w:rPr>
          <w:rFonts w:hint="eastAsia"/>
          <w:b w:val="0"/>
          <w:lang w:val="en-US"/>
        </w:rPr>
        <w:t xml:space="preserve"> </w:t>
      </w:r>
      <w:r>
        <w:rPr>
          <w:rFonts w:eastAsia="黑体" w:hint="eastAsia"/>
          <w:position w:val="-12"/>
          <w:lang w:val="en-US"/>
        </w:rPr>
        <w:object w:dxaOrig="814" w:dyaOrig="313" w14:anchorId="29D09F6D">
          <v:shape id="_x0000_i1032" type="#_x0000_t75" style="width:40.8pt;height:15.8pt" o:ole="">
            <v:imagedata r:id="rId7" o:title=""/>
          </v:shape>
          <o:OLEObject Type="Embed" ProgID="Equation.KSEE3" ShapeID="_x0000_i1032" DrawAspect="Content" ObjectID="_1679242419" r:id="rId20"/>
        </w:object>
      </w:r>
      <w:r>
        <w:rPr>
          <w:rFonts w:eastAsia="黑体" w:hint="eastAsia"/>
          <w:lang w:val="en-US"/>
        </w:rPr>
        <w:t xml:space="preserve"> </w:t>
      </w:r>
      <w:r>
        <w:rPr>
          <w:rFonts w:hint="eastAsia"/>
          <w:b w:val="0"/>
          <w:lang w:val="en-US"/>
        </w:rPr>
        <w:t>in LEO-600</w:t>
      </w:r>
    </w:p>
    <w:tbl>
      <w:tblPr>
        <w:tblW w:w="5768" w:type="dxa"/>
        <w:jc w:val="center"/>
        <w:tblLayout w:type="fixed"/>
        <w:tblCellMar>
          <w:left w:w="0" w:type="dxa"/>
          <w:right w:w="0" w:type="dxa"/>
        </w:tblCellMar>
        <w:tblLook w:val="04A0" w:firstRow="1" w:lastRow="0" w:firstColumn="1" w:lastColumn="0" w:noHBand="0" w:noVBand="1"/>
      </w:tblPr>
      <w:tblGrid>
        <w:gridCol w:w="2048"/>
        <w:gridCol w:w="930"/>
        <w:gridCol w:w="930"/>
        <w:gridCol w:w="930"/>
        <w:gridCol w:w="930"/>
      </w:tblGrid>
      <w:tr w:rsidR="006202DE">
        <w:trPr>
          <w:trHeight w:val="51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黑体" w:hAnsi="Times New Roman" w:cs="Times New Roman"/>
                <w:bCs/>
                <w:position w:val="-14"/>
                <w:sz w:val="20"/>
                <w:szCs w:val="20"/>
              </w:rPr>
              <w:object w:dxaOrig="438" w:dyaOrig="363" w14:anchorId="2D65E596">
                <v:shape id="_x0000_i1033" type="#_x0000_t75" style="width:22.05pt;height:18.75pt" o:ole="">
                  <v:imagedata r:id="rId12" o:title=""/>
                </v:shape>
                <o:OLEObject Type="Embed" ProgID="Equation.KSEE3" ShapeID="_x0000_i1033" DrawAspect="Content" ObjectID="_1679242420" r:id="rId21"/>
              </w:objec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2</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4</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8</w:t>
            </w:r>
          </w:p>
        </w:tc>
      </w:tr>
      <w:tr w:rsidR="006202DE">
        <w:trPr>
          <w:trHeight w:val="60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 xml:space="preserve">Max </w:t>
            </w:r>
            <w:r w:rsidR="00C77383">
              <w:rPr>
                <w:rFonts w:ascii="Times New Roman" w:eastAsia="宋体" w:hAnsi="Times New Roman" w:cs="Times New Roman"/>
                <w:color w:val="000000"/>
                <w:sz w:val="20"/>
                <w:szCs w:val="20"/>
                <w:lang w:bidi="ar"/>
              </w:rPr>
              <w:t>achievable</w:t>
            </w:r>
            <w:r>
              <w:rPr>
                <w:rFonts w:ascii="Times New Roman" w:eastAsia="宋体" w:hAnsi="Times New Roman" w:cs="Times New Roman" w:hint="eastAsia"/>
                <w:color w:val="000000"/>
                <w:sz w:val="20"/>
                <w:szCs w:val="20"/>
                <w:lang w:bidi="ar"/>
              </w:rPr>
              <w:t xml:space="preserve"> t</w:t>
            </w:r>
            <w:r>
              <w:rPr>
                <w:rFonts w:ascii="Times New Roman" w:eastAsia="宋体" w:hAnsi="Times New Roman" w:cs="Times New Roman"/>
                <w:color w:val="000000"/>
                <w:sz w:val="20"/>
                <w:szCs w:val="20"/>
                <w:lang w:bidi="ar"/>
              </w:rPr>
              <w:t>hroughput of NPUSCH</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56.8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69.2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62.5</w:t>
            </w:r>
            <w:r>
              <w:rPr>
                <w:rFonts w:ascii="Times New Roman" w:eastAsia="宋体" w:hAnsi="Times New Roman" w:cs="Times New Roman"/>
                <w:color w:val="000000"/>
                <w:sz w:val="20"/>
                <w:szCs w:val="20"/>
                <w:lang w:bidi="ar"/>
              </w:rPr>
              <w:t xml:space="preserve"> kb/s</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3</w:t>
            </w:r>
            <w:r>
              <w:rPr>
                <w:rFonts w:ascii="Times New Roman" w:eastAsia="宋体" w:hAnsi="Times New Roman" w:cs="Times New Roman" w:hint="eastAsia"/>
                <w:color w:val="000000"/>
                <w:sz w:val="20"/>
                <w:szCs w:val="20"/>
                <w:lang w:bidi="ar"/>
              </w:rPr>
              <w:t>2.3</w:t>
            </w:r>
            <w:r>
              <w:rPr>
                <w:rFonts w:ascii="Times New Roman" w:eastAsia="宋体" w:hAnsi="Times New Roman" w:cs="Times New Roman"/>
                <w:color w:val="000000"/>
                <w:sz w:val="20"/>
                <w:szCs w:val="20"/>
                <w:lang w:bidi="ar"/>
              </w:rPr>
              <w:t xml:space="preserve"> kb/s</w:t>
            </w:r>
          </w:p>
        </w:tc>
      </w:tr>
      <w:tr w:rsidR="006202DE">
        <w:trPr>
          <w:trHeight w:val="60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黑体" w:hAnsi="Times New Roman" w:cs="Times New Roman" w:hint="eastAsia"/>
                <w:bCs/>
                <w:sz w:val="20"/>
                <w:szCs w:val="20"/>
                <w:lang w:bidi="ar"/>
              </w:rPr>
              <w:object w:dxaOrig="420" w:dyaOrig="360" w14:anchorId="1823656F">
                <v:shape id="_x0000_i1034" type="#_x0000_t75" style="width:21.25pt;height:18.75pt" o:ole="">
                  <v:imagedata r:id="rId22" o:title=""/>
                </v:shape>
                <o:OLEObject Type="Embed" ProgID="Equation.KSEE3" ShapeID="_x0000_i1034" DrawAspect="Content" ObjectID="_1679242421" r:id="rId23"/>
              </w:object>
            </w:r>
            <w:r>
              <w:rPr>
                <w:rFonts w:ascii="Times New Roman" w:eastAsia="黑体" w:hAnsi="Times New Roman" w:cs="Times New Roman" w:hint="eastAsia"/>
                <w:bCs/>
                <w:sz w:val="20"/>
                <w:szCs w:val="20"/>
                <w:lang w:bidi="ar"/>
              </w:rPr>
              <w:t xml:space="preserve"> index when max throughput is achieved</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3</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8</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w:t>
            </w:r>
            <w:r>
              <w:rPr>
                <w:rFonts w:ascii="Times New Roman" w:eastAsia="宋体" w:hAnsi="Times New Roman" w:cs="Times New Roman" w:hint="eastAsia"/>
                <w:color w:val="000000"/>
                <w:sz w:val="20"/>
                <w:szCs w:val="20"/>
                <w:lang w:bidi="ar"/>
              </w:rPr>
              <w:t>2</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color w:val="000000"/>
                <w:sz w:val="20"/>
                <w:szCs w:val="20"/>
                <w:lang w:bidi="ar"/>
              </w:rPr>
              <w:t>13</w:t>
            </w:r>
          </w:p>
        </w:tc>
      </w:tr>
      <w:tr w:rsidR="006202DE">
        <w:trPr>
          <w:trHeight w:val="600"/>
          <w:jc w:val="center"/>
        </w:trPr>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黑体" w:hAnsi="Times New Roman" w:cs="Times New Roman" w:hint="eastAsia"/>
                <w:bCs/>
                <w:sz w:val="20"/>
                <w:szCs w:val="20"/>
                <w:lang w:bidi="ar"/>
              </w:rPr>
              <w:object w:dxaOrig="480" w:dyaOrig="360" w14:anchorId="4DFEC063">
                <v:shape id="_x0000_i1035" type="#_x0000_t75" alt="" style="width:23.3pt;height:18.75pt" o:ole="">
                  <v:imagedata r:id="rId24" o:title=""/>
                </v:shape>
                <o:OLEObject Type="Embed" ProgID="Equation.KSEE3" ShapeID="_x0000_i1035" DrawAspect="Content" ObjectID="_1679242422" r:id="rId25"/>
              </w:object>
            </w:r>
            <w:r>
              <w:rPr>
                <w:rFonts w:ascii="Times New Roman" w:eastAsia="黑体" w:hAnsi="Times New Roman" w:cs="Times New Roman" w:hint="eastAsia"/>
                <w:bCs/>
                <w:sz w:val="20"/>
                <w:szCs w:val="20"/>
                <w:lang w:bidi="ar"/>
              </w:rPr>
              <w:t xml:space="preserve"> index when max throughput is achieved</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10</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10</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4</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6202DE" w:rsidRDefault="00D765A3">
            <w:pPr>
              <w:jc w:val="center"/>
              <w:textAlignment w:val="center"/>
              <w:rPr>
                <w:rFonts w:ascii="Times New Roman" w:eastAsia="宋体" w:hAnsi="Times New Roman" w:cs="Times New Roman"/>
                <w:color w:val="000000"/>
                <w:sz w:val="20"/>
                <w:szCs w:val="20"/>
                <w:lang w:bidi="ar"/>
              </w:rPr>
            </w:pPr>
            <w:r>
              <w:rPr>
                <w:rFonts w:ascii="Times New Roman" w:eastAsia="宋体" w:hAnsi="Times New Roman" w:cs="Times New Roman" w:hint="eastAsia"/>
                <w:color w:val="000000"/>
                <w:sz w:val="20"/>
                <w:szCs w:val="20"/>
                <w:lang w:bidi="ar"/>
              </w:rPr>
              <w:t>4</w:t>
            </w:r>
          </w:p>
        </w:tc>
      </w:tr>
    </w:tbl>
    <w:p w:rsidR="006202DE" w:rsidRDefault="00D765A3">
      <w:pPr>
        <w:spacing w:beforeLines="50" w:before="120" w:line="240" w:lineRule="auto"/>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lastRenderedPageBreak/>
        <w:t xml:space="preserve">From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_Ref28112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Table 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xml:space="preserve">, it can be </w:t>
      </w:r>
      <w:r>
        <w:rPr>
          <w:rFonts w:ascii="Times New Roman" w:eastAsia="黑体" w:hAnsi="Times New Roman" w:cs="Times New Roman"/>
          <w:bCs/>
          <w:sz w:val="20"/>
          <w:szCs w:val="20"/>
        </w:rPr>
        <w:t>found</w:t>
      </w:r>
      <w:r>
        <w:rPr>
          <w:rFonts w:ascii="Times New Roman" w:eastAsia="黑体" w:hAnsi="Times New Roman" w:cs="Times New Roman" w:hint="eastAsia"/>
          <w:bCs/>
          <w:sz w:val="20"/>
          <w:szCs w:val="20"/>
        </w:rPr>
        <w:t xml:space="preserve"> that the maximum throughput is achieved </w:t>
      </w:r>
      <w:r>
        <w:rPr>
          <w:rFonts w:ascii="Times New Roman" w:eastAsia="黑体" w:hAnsi="Times New Roman" w:cs="Times New Roman"/>
          <w:bCs/>
          <w:sz w:val="20"/>
          <w:szCs w:val="20"/>
        </w:rPr>
        <w:t>when</w:t>
      </w:r>
      <w:r>
        <w:rPr>
          <w:rFonts w:ascii="Times New Roman" w:eastAsia="黑体" w:hAnsi="Times New Roman" w:cs="Times New Roman" w:hint="eastAsia"/>
          <w:bCs/>
          <w:position w:val="-14"/>
          <w:sz w:val="20"/>
          <w:szCs w:val="20"/>
        </w:rPr>
        <w:object w:dxaOrig="776" w:dyaOrig="351" w14:anchorId="11E96C0A">
          <v:shape id="_x0000_i1036" type="#_x0000_t75" style="width:38.3pt;height:17.9pt" o:ole="">
            <v:imagedata r:id="rId26" o:title=""/>
          </v:shape>
          <o:OLEObject Type="Embed" ProgID="Equation.KSEE3" ShapeID="_x0000_i1036" DrawAspect="Content" ObjectID="_1679242423" r:id="rId27"/>
        </w:object>
      </w:r>
      <w:r>
        <w:rPr>
          <w:rFonts w:ascii="Times New Roman" w:eastAsia="黑体" w:hAnsi="Times New Roman" w:cs="Times New Roman" w:hint="eastAsia"/>
          <w:bCs/>
          <w:sz w:val="20"/>
          <w:szCs w:val="20"/>
        </w:rPr>
        <w:t xml:space="preserve">. In this case, the transmission duration is 20 ms, which is larger than RTT. Therefore, there is no HARQ stalling </w:t>
      </w:r>
      <w:r>
        <w:rPr>
          <w:rFonts w:ascii="Times New Roman" w:eastAsia="黑体" w:hAnsi="Times New Roman" w:cs="Times New Roman"/>
          <w:bCs/>
          <w:sz w:val="20"/>
          <w:szCs w:val="20"/>
        </w:rPr>
        <w:t>issues and further enhancement is not needed</w:t>
      </w:r>
      <w:r>
        <w:rPr>
          <w:rFonts w:ascii="Times New Roman" w:eastAsia="黑体" w:hAnsi="Times New Roman" w:cs="Times New Roman" w:hint="eastAsia"/>
          <w:bCs/>
          <w:sz w:val="20"/>
          <w:szCs w:val="20"/>
        </w:rPr>
        <w:t xml:space="preserve">. For </w:t>
      </w:r>
      <w:r>
        <w:rPr>
          <w:rFonts w:ascii="Times New Roman" w:eastAsia="黑体" w:hAnsi="Times New Roman" w:cs="Times New Roman"/>
          <w:bCs/>
          <w:sz w:val="20"/>
          <w:szCs w:val="20"/>
        </w:rPr>
        <w:t xml:space="preserve">cases with </w:t>
      </w:r>
      <w:r>
        <w:rPr>
          <w:rFonts w:ascii="Times New Roman" w:eastAsia="黑体" w:hAnsi="Times New Roman" w:cs="Times New Roman" w:hint="eastAsia"/>
          <w:bCs/>
          <w:sz w:val="20"/>
          <w:szCs w:val="20"/>
        </w:rPr>
        <w:t xml:space="preserve">30 degree and 10 degree elevation angle, since the max SNRs are </w:t>
      </w:r>
      <w:r w:rsidR="00CD69FA">
        <w:rPr>
          <w:rFonts w:ascii="Times New Roman" w:eastAsia="黑体" w:hAnsi="Times New Roman" w:cs="Times New Roman"/>
          <w:bCs/>
          <w:sz w:val="20"/>
          <w:szCs w:val="20"/>
        </w:rPr>
        <w:t xml:space="preserve">poor than the case </w:t>
      </w:r>
      <w:r w:rsidR="007859FB">
        <w:rPr>
          <w:rFonts w:ascii="Times New Roman" w:eastAsia="黑体" w:hAnsi="Times New Roman" w:cs="Times New Roman"/>
          <w:bCs/>
          <w:sz w:val="20"/>
          <w:szCs w:val="20"/>
        </w:rPr>
        <w:t xml:space="preserve">with </w:t>
      </w:r>
      <w:r>
        <w:rPr>
          <w:rFonts w:ascii="Times New Roman" w:eastAsia="黑体" w:hAnsi="Times New Roman" w:cs="Times New Roman" w:hint="eastAsia"/>
          <w:bCs/>
          <w:sz w:val="20"/>
          <w:szCs w:val="20"/>
        </w:rPr>
        <w:t xml:space="preserve">90 degree </w:t>
      </w:r>
      <w:r w:rsidR="007859FB">
        <w:rPr>
          <w:rFonts w:ascii="Times New Roman" w:eastAsia="黑体" w:hAnsi="Times New Roman" w:cs="Times New Roman"/>
          <w:bCs/>
          <w:sz w:val="20"/>
          <w:szCs w:val="20"/>
        </w:rPr>
        <w:t xml:space="preserve">for </w:t>
      </w:r>
      <w:r>
        <w:rPr>
          <w:rFonts w:ascii="Times New Roman" w:eastAsia="黑体" w:hAnsi="Times New Roman" w:cs="Times New Roman" w:hint="eastAsia"/>
          <w:bCs/>
          <w:sz w:val="20"/>
          <w:szCs w:val="20"/>
        </w:rPr>
        <w:t>elevation angle</w:t>
      </w:r>
      <w:r w:rsidR="007859FB">
        <w:rPr>
          <w:rFonts w:ascii="Times New Roman" w:eastAsia="黑体" w:hAnsi="Times New Roman" w:cs="Times New Roman"/>
          <w:bCs/>
          <w:sz w:val="20"/>
          <w:szCs w:val="20"/>
        </w:rPr>
        <w:t xml:space="preserve">, the </w:t>
      </w:r>
      <w:r w:rsidR="00BB115B">
        <w:rPr>
          <w:rFonts w:ascii="Times New Roman" w:eastAsia="黑体" w:hAnsi="Times New Roman" w:cs="Times New Roman"/>
          <w:bCs/>
          <w:sz w:val="20"/>
          <w:szCs w:val="20"/>
        </w:rPr>
        <w:t xml:space="preserve">required </w:t>
      </w:r>
      <w:r>
        <w:rPr>
          <w:rFonts w:ascii="Times New Roman" w:eastAsia="黑体" w:hAnsi="Times New Roman" w:cs="Times New Roman" w:hint="eastAsia"/>
          <w:bCs/>
          <w:sz w:val="20"/>
          <w:szCs w:val="20"/>
        </w:rPr>
        <w:t xml:space="preserve">repetition number </w:t>
      </w:r>
      <w:r>
        <w:rPr>
          <w:rFonts w:ascii="Times New Roman" w:eastAsia="黑体" w:hAnsi="Times New Roman" w:cs="Times New Roman"/>
          <w:bCs/>
          <w:sz w:val="20"/>
          <w:szCs w:val="20"/>
        </w:rPr>
        <w:t xml:space="preserve">should be enlarged for achieving similar </w:t>
      </w:r>
      <w:r>
        <w:rPr>
          <w:rFonts w:ascii="Times New Roman" w:eastAsia="黑体" w:hAnsi="Times New Roman" w:cs="Times New Roman" w:hint="eastAsia"/>
          <w:bCs/>
          <w:sz w:val="20"/>
          <w:szCs w:val="20"/>
        </w:rPr>
        <w:t>BLER</w:t>
      </w:r>
      <w:r>
        <w:rPr>
          <w:rFonts w:ascii="Times New Roman" w:eastAsia="黑体" w:hAnsi="Times New Roman" w:cs="Times New Roman"/>
          <w:bCs/>
          <w:sz w:val="20"/>
          <w:szCs w:val="20"/>
        </w:rPr>
        <w:t xml:space="preserve">. And it will lead to the further extended duration, which is </w:t>
      </w:r>
      <w:r>
        <w:rPr>
          <w:rFonts w:ascii="Times New Roman" w:eastAsia="黑体" w:hAnsi="Times New Roman" w:cs="Times New Roman" w:hint="eastAsia"/>
          <w:bCs/>
          <w:sz w:val="20"/>
          <w:szCs w:val="20"/>
        </w:rPr>
        <w:t>longer than the max RTT</w:t>
      </w:r>
      <w:r>
        <w:rPr>
          <w:rFonts w:ascii="Times New Roman" w:eastAsia="黑体" w:hAnsi="Times New Roman" w:cs="Times New Roman"/>
          <w:bCs/>
          <w:sz w:val="20"/>
          <w:szCs w:val="20"/>
        </w:rPr>
        <w:t xml:space="preserve">. Similar observation can be achieved for other cases as </w:t>
      </w:r>
      <w:r>
        <w:rPr>
          <w:rFonts w:ascii="Times New Roman" w:eastAsia="黑体" w:hAnsi="Times New Roman" w:cs="Times New Roman" w:hint="eastAsia"/>
          <w:bCs/>
          <w:sz w:val="20"/>
          <w:szCs w:val="20"/>
        </w:rPr>
        <w:t xml:space="preserve">LEO-1200 and GEO. </w:t>
      </w:r>
    </w:p>
    <w:p w:rsidR="006202DE" w:rsidRDefault="00D765A3">
      <w:pPr>
        <w:numPr>
          <w:ilvl w:val="3"/>
          <w:numId w:val="0"/>
        </w:numPr>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W.r.t eMTC, TBS is mainly affected by the number of PRBs (</w:t>
      </w:r>
      <w:r>
        <w:rPr>
          <w:rFonts w:ascii="Times New Roman" w:eastAsia="黑体" w:hAnsi="Times New Roman" w:cs="Times New Roman" w:hint="eastAsia"/>
          <w:bCs/>
          <w:position w:val="-10"/>
          <w:sz w:val="20"/>
          <w:szCs w:val="20"/>
        </w:rPr>
        <w:object w:dxaOrig="538" w:dyaOrig="338" w14:anchorId="769A7464">
          <v:shape id="_x0000_i1037" type="#_x0000_t75" style="width:27.05pt;height:17.05pt" o:ole="">
            <v:imagedata r:id="rId28" o:title=""/>
          </v:shape>
          <o:OLEObject Type="Embed" ProgID="Equation.KSEE3" ShapeID="_x0000_i1037" DrawAspect="Content" ObjectID="_1679242424" r:id="rId29"/>
        </w:object>
      </w:r>
      <w:r>
        <w:rPr>
          <w:rFonts w:ascii="Times New Roman" w:eastAsia="黑体" w:hAnsi="Times New Roman" w:cs="Times New Roman" w:hint="eastAsia"/>
          <w:bCs/>
          <w:sz w:val="20"/>
          <w:szCs w:val="20"/>
        </w:rPr>
        <w:t>) instead of RUs (</w:t>
      </w:r>
      <w:r>
        <w:rPr>
          <w:rFonts w:ascii="Times New Roman" w:eastAsia="黑体" w:hAnsi="Times New Roman" w:cs="Times New Roman" w:hint="eastAsia"/>
          <w:bCs/>
          <w:position w:val="-12"/>
          <w:sz w:val="20"/>
          <w:szCs w:val="20"/>
        </w:rPr>
        <w:object w:dxaOrig="476" w:dyaOrig="363" w14:anchorId="4FA1A4F6">
          <v:shape id="_x0000_i1038" type="#_x0000_t75" style="width:23.3pt;height:18.75pt" o:ole="">
            <v:imagedata r:id="rId30" o:title=""/>
          </v:shape>
          <o:OLEObject Type="Embed" ProgID="Equation.KSEE3" ShapeID="_x0000_i1038" DrawAspect="Content" ObjectID="_1679242425" r:id="rId31"/>
        </w:object>
      </w:r>
      <w:r>
        <w:rPr>
          <w:rFonts w:ascii="Times New Roman" w:eastAsia="黑体" w:hAnsi="Times New Roman" w:cs="Times New Roman" w:hint="eastAsia"/>
          <w:bCs/>
          <w:sz w:val="20"/>
          <w:szCs w:val="20"/>
        </w:rPr>
        <w:t xml:space="preserve">) in NB-IoT. With fixed </w:t>
      </w:r>
      <w:r w:rsidRPr="00F4130E">
        <w:rPr>
          <w:rFonts w:ascii="Times New Roman" w:eastAsia="黑体" w:hAnsi="Times New Roman" w:cs="Times New Roman" w:hint="eastAsia"/>
          <w:bCs/>
          <w:position w:val="-12"/>
          <w:sz w:val="20"/>
          <w:szCs w:val="20"/>
        </w:rPr>
        <w:object w:dxaOrig="426" w:dyaOrig="363" w14:anchorId="529ED76C">
          <v:shape id="_x0000_i1039" type="#_x0000_t75" style="width:21.25pt;height:18.75pt" o:ole="">
            <v:imagedata r:id="rId32" o:title=""/>
          </v:shape>
          <o:OLEObject Type="Embed" ProgID="Equation.KSEE3" ShapeID="_x0000_i1039" DrawAspect="Content" ObjectID="_1679242426" r:id="rId33"/>
        </w:object>
      </w:r>
      <w:r>
        <w:rPr>
          <w:rFonts w:ascii="Times New Roman" w:eastAsia="黑体" w:hAnsi="Times New Roman" w:cs="Times New Roman" w:hint="eastAsia"/>
          <w:bCs/>
          <w:sz w:val="20"/>
          <w:szCs w:val="20"/>
        </w:rPr>
        <w:t xml:space="preserve"> and </w:t>
      </w:r>
      <w:r w:rsidR="00F4130E">
        <w:rPr>
          <w:rFonts w:ascii="Times New Roman" w:eastAsia="黑体" w:hAnsi="Times New Roman" w:cs="Times New Roman"/>
          <w:bCs/>
          <w:sz w:val="20"/>
          <w:szCs w:val="20"/>
        </w:rPr>
        <w:t>increased</w:t>
      </w:r>
      <w:r>
        <w:rPr>
          <w:rFonts w:ascii="Times New Roman" w:eastAsia="黑体" w:hAnsi="Times New Roman" w:cs="Times New Roman" w:hint="eastAsia"/>
          <w:bCs/>
          <w:position w:val="-10"/>
          <w:sz w:val="20"/>
          <w:szCs w:val="20"/>
        </w:rPr>
        <w:object w:dxaOrig="538" w:dyaOrig="338" w14:anchorId="20F45CD6">
          <v:shape id="_x0000_i1040" type="#_x0000_t75" style="width:27.05pt;height:17.05pt" o:ole="">
            <v:imagedata r:id="rId28" o:title=""/>
          </v:shape>
          <o:OLEObject Type="Embed" ProgID="Equation.KSEE3" ShapeID="_x0000_i1040" DrawAspect="Content" ObjectID="_1679242427" r:id="rId34"/>
        </w:object>
      </w:r>
      <w:r>
        <w:rPr>
          <w:rFonts w:ascii="Times New Roman" w:eastAsia="黑体" w:hAnsi="Times New Roman" w:cs="Times New Roman" w:hint="eastAsia"/>
          <w:bCs/>
          <w:sz w:val="20"/>
          <w:szCs w:val="20"/>
        </w:rPr>
        <w:t xml:space="preserve">, the bandwidth and TBS will increase but </w:t>
      </w:r>
      <w:proofErr w:type="spellStart"/>
      <w:r>
        <w:rPr>
          <w:rFonts w:ascii="Times New Roman" w:eastAsia="黑体" w:hAnsi="Times New Roman" w:cs="Times New Roman" w:hint="eastAsia"/>
          <w:bCs/>
          <w:sz w:val="20"/>
          <w:szCs w:val="20"/>
        </w:rPr>
        <w:t>coderate</w:t>
      </w:r>
      <w:proofErr w:type="spellEnd"/>
      <w:r>
        <w:rPr>
          <w:rFonts w:ascii="Times New Roman" w:eastAsia="黑体" w:hAnsi="Times New Roman" w:cs="Times New Roman" w:hint="eastAsia"/>
          <w:bCs/>
          <w:sz w:val="20"/>
          <w:szCs w:val="20"/>
        </w:rPr>
        <w:t xml:space="preserve"> will not change a lot. Therefore, higher repetition number is required to mitigate the link budget loss due to larger bandwidth when increased </w:t>
      </w:r>
      <w:r>
        <w:rPr>
          <w:rFonts w:ascii="Times New Roman" w:eastAsia="黑体" w:hAnsi="Times New Roman" w:cs="Times New Roman" w:hint="eastAsia"/>
          <w:bCs/>
          <w:position w:val="-10"/>
          <w:sz w:val="20"/>
          <w:szCs w:val="20"/>
        </w:rPr>
        <w:object w:dxaOrig="538" w:dyaOrig="338" w14:anchorId="64B18A95">
          <v:shape id="_x0000_i1041" type="#_x0000_t75" style="width:27.05pt;height:17.05pt" o:ole="">
            <v:imagedata r:id="rId28" o:title=""/>
          </v:shape>
          <o:OLEObject Type="Embed" ProgID="Equation.KSEE3" ShapeID="_x0000_i1041" DrawAspect="Content" ObjectID="_1679242428" r:id="rId35"/>
        </w:object>
      </w:r>
      <w:r>
        <w:rPr>
          <w:rFonts w:ascii="Times New Roman" w:eastAsia="黑体" w:hAnsi="Times New Roman" w:cs="Times New Roman" w:hint="eastAsia"/>
          <w:bCs/>
          <w:sz w:val="20"/>
          <w:szCs w:val="20"/>
        </w:rPr>
        <w:t xml:space="preserve"> is applied for </w:t>
      </w:r>
      <w:r w:rsidR="00C77383">
        <w:rPr>
          <w:rFonts w:ascii="Times New Roman" w:eastAsia="黑体" w:hAnsi="Times New Roman" w:cs="Times New Roman"/>
          <w:bCs/>
          <w:sz w:val="20"/>
          <w:szCs w:val="20"/>
        </w:rPr>
        <w:t>same</w:t>
      </w:r>
      <w:r>
        <w:rPr>
          <w:rFonts w:ascii="Times New Roman" w:eastAsia="黑体" w:hAnsi="Times New Roman" w:cs="Times New Roman" w:hint="eastAsia"/>
          <w:bCs/>
          <w:position w:val="-12"/>
          <w:sz w:val="20"/>
          <w:szCs w:val="20"/>
        </w:rPr>
        <w:object w:dxaOrig="426" w:dyaOrig="363" w14:anchorId="7AECBF39">
          <v:shape id="_x0000_i1042" type="#_x0000_t75" style="width:21.25pt;height:18.75pt" o:ole="">
            <v:imagedata r:id="rId32" o:title=""/>
          </v:shape>
          <o:OLEObject Type="Embed" ProgID="Equation.KSEE3" ShapeID="_x0000_i1042" DrawAspect="Content" ObjectID="_1679242429" r:id="rId36"/>
        </w:object>
      </w:r>
      <w:r>
        <w:rPr>
          <w:rFonts w:ascii="Times New Roman" w:eastAsia="黑体" w:hAnsi="Times New Roman" w:cs="Times New Roman" w:hint="eastAsia"/>
          <w:bCs/>
          <w:sz w:val="20"/>
          <w:szCs w:val="20"/>
        </w:rPr>
        <w:t xml:space="preserve">. For fixed </w:t>
      </w:r>
      <w:proofErr w:type="spellStart"/>
      <w:r>
        <w:rPr>
          <w:rFonts w:ascii="Times New Roman" w:eastAsia="黑体" w:hAnsi="Times New Roman" w:cs="Times New Roman" w:hint="eastAsia"/>
          <w:bCs/>
          <w:sz w:val="20"/>
          <w:szCs w:val="20"/>
        </w:rPr>
        <w:t>coderate</w:t>
      </w:r>
      <w:proofErr w:type="spellEnd"/>
      <w:r>
        <w:rPr>
          <w:rFonts w:ascii="Times New Roman" w:eastAsia="黑体" w:hAnsi="Times New Roman" w:cs="Times New Roman" w:hint="eastAsia"/>
          <w:bCs/>
          <w:sz w:val="20"/>
          <w:szCs w:val="20"/>
        </w:rPr>
        <w:t xml:space="preserve">, if bandwidth is increased to </w:t>
      </w:r>
      <w:r>
        <w:rPr>
          <w:rFonts w:ascii="Times New Roman" w:eastAsia="黑体" w:hAnsi="Times New Roman" w:cs="Times New Roman" w:hint="eastAsia"/>
          <w:bCs/>
          <w:position w:val="-6"/>
          <w:sz w:val="20"/>
          <w:szCs w:val="20"/>
        </w:rPr>
        <w:object w:dxaOrig="279" w:dyaOrig="279" w14:anchorId="5E1477BF">
          <v:shape id="_x0000_i1043" type="#_x0000_t75" style="width:13.75pt;height:13.75pt" o:ole="">
            <v:imagedata r:id="rId37" o:title=""/>
          </v:shape>
          <o:OLEObject Type="Embed" ProgID="Equation.KSEE3" ShapeID="_x0000_i1043" DrawAspect="Content" ObjectID="_1679242430" r:id="rId38"/>
        </w:object>
      </w:r>
      <w:r>
        <w:rPr>
          <w:rFonts w:ascii="Times New Roman" w:eastAsia="黑体" w:hAnsi="Times New Roman" w:cs="Times New Roman" w:hint="eastAsia"/>
          <w:bCs/>
          <w:sz w:val="20"/>
          <w:szCs w:val="20"/>
        </w:rPr>
        <w:t xml:space="preserve"> times of original one, the link budget will decrease to </w:t>
      </w:r>
      <w:r>
        <w:rPr>
          <w:rFonts w:ascii="Times New Roman" w:eastAsia="黑体" w:hAnsi="Times New Roman" w:cs="Times New Roman" w:hint="eastAsia"/>
          <w:bCs/>
          <w:position w:val="-6"/>
          <w:sz w:val="20"/>
          <w:szCs w:val="20"/>
        </w:rPr>
        <w:object w:dxaOrig="499" w:dyaOrig="279" w14:anchorId="60809B35">
          <v:shape id="_x0000_i1044" type="#_x0000_t75" style="width:24.95pt;height:13.75pt" o:ole="">
            <v:imagedata r:id="rId39" o:title=""/>
          </v:shape>
          <o:OLEObject Type="Embed" ProgID="Equation.KSEE3" ShapeID="_x0000_i1044" DrawAspect="Content" ObjectID="_1679242431" r:id="rId40"/>
        </w:object>
      </w:r>
      <w:r>
        <w:rPr>
          <w:rFonts w:ascii="Times New Roman" w:eastAsia="黑体" w:hAnsi="Times New Roman" w:cs="Times New Roman" w:hint="eastAsia"/>
          <w:bCs/>
          <w:sz w:val="20"/>
          <w:szCs w:val="20"/>
        </w:rPr>
        <w:t xml:space="preserve"> so that repetition number should also be </w:t>
      </w:r>
      <w:r w:rsidR="00222600">
        <w:rPr>
          <w:rFonts w:ascii="Times New Roman" w:eastAsia="黑体" w:hAnsi="Times New Roman" w:cs="Times New Roman"/>
          <w:bCs/>
          <w:sz w:val="20"/>
          <w:szCs w:val="20"/>
        </w:rPr>
        <w:t xml:space="preserve">roughly </w:t>
      </w:r>
      <w:r>
        <w:rPr>
          <w:rFonts w:ascii="Times New Roman" w:eastAsia="黑体" w:hAnsi="Times New Roman" w:cs="Times New Roman" w:hint="eastAsia"/>
          <w:bCs/>
          <w:sz w:val="20"/>
          <w:szCs w:val="20"/>
        </w:rPr>
        <w:t xml:space="preserve">increased to </w:t>
      </w:r>
      <w:r>
        <w:rPr>
          <w:rFonts w:ascii="Times New Roman" w:eastAsia="黑体" w:hAnsi="Times New Roman" w:cs="Times New Roman" w:hint="eastAsia"/>
          <w:bCs/>
          <w:position w:val="-6"/>
          <w:sz w:val="20"/>
          <w:szCs w:val="20"/>
        </w:rPr>
        <w:object w:dxaOrig="279" w:dyaOrig="279" w14:anchorId="24238BA4">
          <v:shape id="_x0000_i1045" type="#_x0000_t75" style="width:13.75pt;height:13.75pt" o:ole="">
            <v:imagedata r:id="rId41" o:title=""/>
          </v:shape>
          <o:OLEObject Type="Embed" ProgID="Equation.KSEE3" ShapeID="_x0000_i1045" DrawAspect="Content" ObjectID="_1679242432" r:id="rId42"/>
        </w:object>
      </w:r>
      <w:r>
        <w:rPr>
          <w:rFonts w:ascii="Times New Roman" w:eastAsia="黑体" w:hAnsi="Times New Roman" w:cs="Times New Roman" w:hint="eastAsia"/>
          <w:bCs/>
          <w:sz w:val="20"/>
          <w:szCs w:val="20"/>
        </w:rPr>
        <w:t xml:space="preserve"> times ideally to mitigate BLER performance loss. In this case, the throughput gain of pure PUSCH due to wider band and loss due to more repetitions are roughly canceled. However, the transmission duration of one TB is increased and HARQ stalling is more likely to be avoided. Therefore, once the transmission duration is not long enough to fill RTT, it is easily to increase </w:t>
      </w:r>
      <w:r>
        <w:rPr>
          <w:rFonts w:ascii="Times New Roman" w:eastAsia="黑体" w:hAnsi="Times New Roman" w:cs="Times New Roman" w:hint="eastAsia"/>
          <w:bCs/>
          <w:position w:val="-10"/>
          <w:sz w:val="20"/>
          <w:szCs w:val="20"/>
        </w:rPr>
        <w:object w:dxaOrig="538" w:dyaOrig="338" w14:anchorId="14B9C606">
          <v:shape id="_x0000_i1046" type="#_x0000_t75" style="width:27.05pt;height:17.05pt" o:ole="">
            <v:imagedata r:id="rId28" o:title=""/>
          </v:shape>
          <o:OLEObject Type="Embed" ProgID="Equation.KSEE3" ShapeID="_x0000_i1046" DrawAspect="Content" ObjectID="_1679242433" r:id="rId43"/>
        </w:object>
      </w:r>
      <w:r>
        <w:rPr>
          <w:rFonts w:ascii="Times New Roman" w:eastAsia="黑体" w:hAnsi="Times New Roman" w:cs="Times New Roman" w:hint="eastAsia"/>
          <w:bCs/>
          <w:sz w:val="20"/>
          <w:szCs w:val="20"/>
        </w:rPr>
        <w:t xml:space="preserve"> and </w:t>
      </w:r>
      <w:r>
        <w:rPr>
          <w:rFonts w:ascii="Times New Roman" w:eastAsia="黑体" w:hAnsi="Times New Roman" w:cs="Times New Roman" w:hint="eastAsia"/>
          <w:bCs/>
          <w:position w:val="-14"/>
          <w:sz w:val="20"/>
          <w:szCs w:val="20"/>
        </w:rPr>
        <w:object w:dxaOrig="463" w:dyaOrig="376" w14:anchorId="167BA4FC">
          <v:shape id="_x0000_i1047" type="#_x0000_t75" style="width:22.9pt;height:18.75pt" o:ole="">
            <v:imagedata r:id="rId44" o:title=""/>
          </v:shape>
          <o:OLEObject Type="Embed" ProgID="Equation.KSEE3" ShapeID="_x0000_i1047" DrawAspect="Content" ObjectID="_1679242434" r:id="rId45"/>
        </w:object>
      </w:r>
      <w:r>
        <w:rPr>
          <w:rFonts w:ascii="Times New Roman" w:eastAsia="黑体" w:hAnsi="Times New Roman" w:cs="Times New Roman" w:hint="eastAsia"/>
          <w:bCs/>
          <w:sz w:val="20"/>
          <w:szCs w:val="20"/>
        </w:rPr>
        <w:t xml:space="preserve"> at the same time to increase TBS and transmission time of one</w:t>
      </w:r>
      <w:r w:rsidR="00FD096E">
        <w:rPr>
          <w:rFonts w:ascii="Times New Roman" w:eastAsia="黑体" w:hAnsi="Times New Roman" w:cs="Times New Roman"/>
          <w:bCs/>
          <w:sz w:val="20"/>
          <w:szCs w:val="20"/>
        </w:rPr>
        <w:t xml:space="preserve"> scheduled</w:t>
      </w:r>
      <w:r>
        <w:rPr>
          <w:rFonts w:ascii="Times New Roman" w:eastAsia="黑体" w:hAnsi="Times New Roman" w:cs="Times New Roman" w:hint="eastAsia"/>
          <w:bCs/>
          <w:sz w:val="20"/>
          <w:szCs w:val="20"/>
        </w:rPr>
        <w:t xml:space="preserve"> TB, so that HARQ stalling </w:t>
      </w:r>
      <w:r w:rsidR="00093841">
        <w:rPr>
          <w:rFonts w:ascii="Times New Roman" w:eastAsia="黑体" w:hAnsi="Times New Roman" w:cs="Times New Roman"/>
          <w:bCs/>
          <w:sz w:val="20"/>
          <w:szCs w:val="20"/>
        </w:rPr>
        <w:t xml:space="preserve">can be </w:t>
      </w:r>
      <w:r>
        <w:rPr>
          <w:rFonts w:ascii="Times New Roman" w:eastAsia="黑体" w:hAnsi="Times New Roman" w:cs="Times New Roman" w:hint="eastAsia"/>
          <w:bCs/>
          <w:sz w:val="20"/>
          <w:szCs w:val="20"/>
        </w:rPr>
        <w:t>avoided without changing throughput of PUSCH a lot under same BLER requirement. Based on above analysis, the throughput in UL of eMTC over NTN will not be significantly affected by HARQ stalling when proper parameter setting is applied</w:t>
      </w:r>
      <w:r w:rsidR="00BD50EF">
        <w:rPr>
          <w:rFonts w:ascii="Times New Roman" w:eastAsia="黑体" w:hAnsi="Times New Roman" w:cs="Times New Roman"/>
          <w:bCs/>
          <w:sz w:val="20"/>
          <w:szCs w:val="20"/>
        </w:rPr>
        <w:t xml:space="preserve">, and </w:t>
      </w:r>
      <w:r>
        <w:rPr>
          <w:rFonts w:ascii="Times New Roman" w:eastAsia="黑体" w:hAnsi="Times New Roman" w:cs="Times New Roman" w:hint="eastAsia"/>
          <w:bCs/>
          <w:sz w:val="20"/>
          <w:szCs w:val="20"/>
        </w:rPr>
        <w:t xml:space="preserve">increasing HARQ process number is not needed. </w:t>
      </w:r>
    </w:p>
    <w:p w:rsidR="006202DE" w:rsidRDefault="00D765A3">
      <w:pPr>
        <w:rPr>
          <w:rFonts w:ascii="Times New Roman" w:hAnsi="Times New Roman" w:cs="Times New Roman"/>
          <w:i/>
          <w:iCs/>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2: </w:t>
      </w:r>
      <w:r>
        <w:rPr>
          <w:rFonts w:ascii="Times New Roman" w:hAnsi="Times New Roman" w:cs="Times New Roman" w:hint="eastAsia"/>
          <w:i/>
          <w:iCs/>
          <w:sz w:val="20"/>
          <w:szCs w:val="20"/>
        </w:rPr>
        <w:t>The maximum throughput in UL of IoT-NTN will not be significantly affected by HARQ stalling when proper parameter setting is applied.</w:t>
      </w:r>
    </w:p>
    <w:p w:rsidR="006202DE" w:rsidRDefault="00D765A3">
      <w:pPr>
        <w:rPr>
          <w:rFonts w:ascii="Times New Roman" w:hAnsi="Times New Roman"/>
          <w:sz w:val="20"/>
          <w:szCs w:val="20"/>
        </w:rPr>
      </w:pPr>
      <w:r>
        <w:rPr>
          <w:rFonts w:ascii="Times New Roman" w:eastAsia="黑体" w:hAnsi="Times New Roman" w:cs="Times New Roman" w:hint="eastAsia"/>
          <w:bCs/>
          <w:sz w:val="20"/>
          <w:szCs w:val="20"/>
        </w:rPr>
        <w:t xml:space="preserve">Based on above evaluations, </w:t>
      </w:r>
      <w:r>
        <w:rPr>
          <w:rFonts w:ascii="Times New Roman" w:eastAsia="黑体" w:hAnsi="Times New Roman" w:cs="Times New Roman"/>
          <w:bCs/>
          <w:sz w:val="20"/>
          <w:szCs w:val="20"/>
        </w:rPr>
        <w:t>enhancement on the HARQ</w:t>
      </w:r>
      <w:r>
        <w:rPr>
          <w:rFonts w:ascii="Times New Roman" w:eastAsia="黑体" w:hAnsi="Times New Roman" w:cs="Times New Roman" w:hint="eastAsia"/>
          <w:bCs/>
          <w:sz w:val="20"/>
          <w:szCs w:val="20"/>
        </w:rPr>
        <w:t xml:space="preserve"> may be needed since there </w:t>
      </w:r>
      <w:r>
        <w:rPr>
          <w:rFonts w:ascii="Times New Roman" w:eastAsia="黑体" w:hAnsi="Times New Roman" w:cs="Times New Roman"/>
          <w:bCs/>
          <w:sz w:val="20"/>
          <w:szCs w:val="20"/>
        </w:rPr>
        <w:t xml:space="preserve">will be a </w:t>
      </w:r>
      <w:r>
        <w:rPr>
          <w:rFonts w:ascii="Times New Roman" w:eastAsia="黑体" w:hAnsi="Times New Roman" w:cs="Times New Roman" w:hint="eastAsia"/>
          <w:bCs/>
          <w:sz w:val="20"/>
          <w:szCs w:val="20"/>
        </w:rPr>
        <w:t>HARQ stalling in DL of NB-IoT</w:t>
      </w:r>
      <w:r>
        <w:rPr>
          <w:rFonts w:ascii="Times New Roman" w:eastAsia="黑体" w:hAnsi="Times New Roman" w:cs="Times New Roman"/>
          <w:bCs/>
          <w:sz w:val="20"/>
          <w:szCs w:val="20"/>
        </w:rPr>
        <w:t xml:space="preserve"> and eMTC for both GEO and LEO</w:t>
      </w:r>
      <w:r>
        <w:rPr>
          <w:rFonts w:ascii="Times New Roman" w:eastAsia="黑体" w:hAnsi="Times New Roman" w:cs="Times New Roman" w:hint="eastAsia"/>
          <w:bCs/>
          <w:sz w:val="20"/>
          <w:szCs w:val="20"/>
        </w:rPr>
        <w:t xml:space="preserve">. However, as agreed in </w:t>
      </w:r>
      <w:r>
        <w:rPr>
          <w:rFonts w:ascii="Times New Roman" w:hAnsi="Times New Roman"/>
          <w:sz w:val="20"/>
          <w:szCs w:val="20"/>
          <w:lang w:val="en-GB"/>
        </w:rPr>
        <w:t>RAN</w:t>
      </w:r>
      <w:r>
        <w:rPr>
          <w:rFonts w:ascii="Times New Roman" w:hAnsi="Times New Roman" w:hint="eastAsia"/>
          <w:sz w:val="20"/>
          <w:szCs w:val="20"/>
        </w:rPr>
        <w:t>1#104e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hint="eastAsia"/>
          <w:sz w:val="20"/>
          <w:szCs w:val="20"/>
        </w:rPr>
        <w:t xml:space="preserve">, the main characteristics of an IoT devices include lower throughput, lower complexity and lower power consumption. While larger HARQ process number will certainly require larger soft buffer size, larger memory, higher computing capabilities. Thus, disabling HARQ feedback is preferred for throughput recovery instead of increasing HARQ process number since it has less </w:t>
      </w:r>
      <w:r>
        <w:rPr>
          <w:rFonts w:ascii="Times New Roman" w:hAnsi="Times New Roman"/>
          <w:sz w:val="20"/>
          <w:szCs w:val="20"/>
        </w:rPr>
        <w:t>requirement</w:t>
      </w:r>
      <w:r>
        <w:rPr>
          <w:rFonts w:ascii="Times New Roman" w:hAnsi="Times New Roman" w:hint="eastAsia"/>
          <w:sz w:val="20"/>
          <w:szCs w:val="20"/>
        </w:rPr>
        <w:t xml:space="preserve"> on UE complexity. Moreover, HARQ feedback disabling can be </w:t>
      </w:r>
      <w:r>
        <w:rPr>
          <w:rFonts w:ascii="Times New Roman" w:hAnsi="Times New Roman"/>
          <w:sz w:val="20"/>
          <w:szCs w:val="20"/>
        </w:rPr>
        <w:t>dynamic</w:t>
      </w:r>
      <w:r>
        <w:rPr>
          <w:rFonts w:ascii="Times New Roman" w:hAnsi="Times New Roman" w:hint="eastAsia"/>
          <w:sz w:val="20"/>
          <w:szCs w:val="20"/>
        </w:rPr>
        <w:t xml:space="preserve"> </w:t>
      </w:r>
      <w:r>
        <w:rPr>
          <w:rFonts w:ascii="Times New Roman" w:hAnsi="Times New Roman"/>
          <w:sz w:val="20"/>
          <w:szCs w:val="20"/>
        </w:rPr>
        <w:t xml:space="preserve">enabled up to the scenario, e.g., with good link budget, which is able to achieve </w:t>
      </w:r>
      <w:r>
        <w:rPr>
          <w:rFonts w:ascii="Times New Roman" w:hAnsi="Times New Roman" w:hint="eastAsia"/>
          <w:sz w:val="20"/>
          <w:szCs w:val="20"/>
        </w:rPr>
        <w:t xml:space="preserve">high throughput. </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1:</w:t>
      </w:r>
      <w:r>
        <w:rPr>
          <w:rFonts w:ascii="Times New Roman" w:hAnsi="Times New Roman" w:cs="Times New Roman" w:hint="eastAsia"/>
          <w:i/>
          <w:iCs/>
          <w:sz w:val="20"/>
          <w:szCs w:val="20"/>
        </w:rPr>
        <w:t xml:space="preserve"> HARQ process number for NB-IoT/eMTC in terrestrial network is reused for IoT-NTN.</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2:</w:t>
      </w:r>
      <w:r>
        <w:rPr>
          <w:rFonts w:ascii="Times New Roman" w:hAnsi="Times New Roman" w:cs="Times New Roman" w:hint="eastAsia"/>
          <w:i/>
          <w:iCs/>
          <w:sz w:val="20"/>
          <w:szCs w:val="20"/>
        </w:rPr>
        <w:t xml:space="preserve"> HARQ feedback disabling </w:t>
      </w:r>
      <w:r w:rsidR="00760590">
        <w:rPr>
          <w:rFonts w:ascii="Times New Roman" w:hAnsi="Times New Roman" w:cs="Times New Roman"/>
          <w:i/>
          <w:iCs/>
          <w:sz w:val="20"/>
          <w:szCs w:val="20"/>
        </w:rPr>
        <w:t xml:space="preserve">for DL </w:t>
      </w:r>
      <w:r>
        <w:rPr>
          <w:rFonts w:ascii="Times New Roman" w:hAnsi="Times New Roman" w:cs="Times New Roman" w:hint="eastAsia"/>
          <w:i/>
          <w:iCs/>
          <w:sz w:val="20"/>
          <w:szCs w:val="20"/>
        </w:rPr>
        <w:t>can be supported in IoT-NTN.</w:t>
      </w:r>
    </w:p>
    <w:p w:rsidR="006202DE" w:rsidRDefault="00D765A3">
      <w:pPr>
        <w:pStyle w:val="1"/>
        <w:keepNext w:val="0"/>
        <w:keepLines w:val="0"/>
        <w:widowControl w:val="0"/>
        <w:numPr>
          <w:ilvl w:val="0"/>
          <w:numId w:val="4"/>
        </w:numPr>
        <w:pBdr>
          <w:top w:val="none" w:sz="0" w:space="0" w:color="auto"/>
        </w:pBdr>
        <w:tabs>
          <w:tab w:val="left" w:pos="432"/>
        </w:tabs>
        <w:overflowPunct/>
        <w:snapToGrid w:val="0"/>
        <w:spacing w:beforeLines="50" w:before="120" w:afterLines="100" w:after="24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 xml:space="preserve">Discussion on remaining topics </w:t>
      </w:r>
    </w:p>
    <w:p w:rsidR="006202DE" w:rsidRDefault="00D765A3">
      <w:pPr>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lang w:val="en-GB"/>
        </w:rPr>
        <w:t>RAN</w:t>
      </w:r>
      <w:r>
        <w:rPr>
          <w:rFonts w:ascii="Times New Roman" w:hAnsi="Times New Roman" w:hint="eastAsia"/>
          <w:sz w:val="20"/>
          <w:szCs w:val="20"/>
        </w:rPr>
        <w:t>1#104e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hint="eastAsia"/>
          <w:sz w:val="20"/>
          <w:szCs w:val="20"/>
        </w:rPr>
        <w:t xml:space="preserve">, several other topics are agreed to be investigated to further identify what should be enhanced on HARQ for IoT-NTN. </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Reduced PDCCH monitoring</w:t>
      </w:r>
    </w:p>
    <w:p w:rsidR="006202DE" w:rsidRDefault="00D765A3">
      <w:pPr>
        <w:ind w:left="420"/>
        <w:rPr>
          <w:rFonts w:ascii="Times New Roman" w:hAnsi="Times New Roman" w:cs="Times New Roman"/>
          <w:sz w:val="20"/>
          <w:szCs w:val="20"/>
        </w:rPr>
      </w:pPr>
      <w:r>
        <w:rPr>
          <w:rFonts w:ascii="Times New Roman" w:hAnsi="Times New Roman" w:cs="Times New Roman" w:hint="eastAsia"/>
          <w:sz w:val="20"/>
          <w:szCs w:val="20"/>
        </w:rPr>
        <w:t>When HARQ feedback is enabled, the interval between two transmissions of one HARQ process should be longer than RTT. During this interval, UE is not possibly to receive a PDCCH. Hence, the PDCCH monitoring in this waiting time can be skipped to reduce power consumption. In traditional TN, the active time for PDCCH monitoring is controlled by HARQ RTT Timer and UL HARQ RTT timer. By enhancing the timers, e.g., add an additional offset corresponding to RTT, UEs can avoid to monitor PDCCH for a long time.</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3:</w:t>
      </w:r>
      <w:r>
        <w:rPr>
          <w:rFonts w:ascii="Times New Roman" w:hAnsi="Times New Roman" w:cs="Times New Roman" w:hint="eastAsia"/>
          <w:i/>
          <w:iCs/>
          <w:sz w:val="20"/>
          <w:szCs w:val="20"/>
        </w:rPr>
        <w:t xml:space="preserve"> Reduced PDCCH monitoring can be achieved by enhancing HARQ RTT Timer.</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Coverage enhancement</w:t>
      </w:r>
    </w:p>
    <w:p w:rsidR="006202DE" w:rsidRDefault="00D765A3">
      <w:pPr>
        <w:ind w:left="420"/>
        <w:rPr>
          <w:rFonts w:ascii="Times New Roman" w:hAnsi="Times New Roman" w:cs="Times New Roman"/>
          <w:sz w:val="20"/>
          <w:szCs w:val="20"/>
        </w:rPr>
      </w:pPr>
      <w:r>
        <w:rPr>
          <w:rFonts w:ascii="Times New Roman" w:hAnsi="Times New Roman" w:cs="Times New Roman" w:hint="eastAsia"/>
          <w:sz w:val="20"/>
          <w:szCs w:val="20"/>
        </w:rPr>
        <w:lastRenderedPageBreak/>
        <w:t xml:space="preserve">According to the analysis in </w:t>
      </w:r>
      <w:r>
        <w:rPr>
          <w:rFonts w:ascii="Times New Roman" w:hAnsi="Times New Roman" w:cs="Times New Roman" w:hint="eastAsia"/>
          <w:sz w:val="20"/>
          <w:szCs w:val="20"/>
        </w:rPr>
        <w:fldChar w:fldCharType="begin"/>
      </w:r>
      <w:r>
        <w:rPr>
          <w:rFonts w:ascii="Times New Roman" w:hAnsi="Times New Roman" w:cs="Times New Roman"/>
          <w:sz w:val="20"/>
          <w:szCs w:val="20"/>
        </w:rPr>
        <w:instrText xml:space="preserve"> REF _Ref19575 \n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w:t>
      </w:r>
      <w:r>
        <w:rPr>
          <w:rFonts w:ascii="Times New Roman" w:hAnsi="Times New Roman" w:cs="Times New Roman"/>
          <w:sz w:val="20"/>
          <w:szCs w:val="20"/>
        </w:rPr>
        <w:t>larger</w:t>
      </w:r>
      <w:r>
        <w:rPr>
          <w:rFonts w:ascii="Times New Roman" w:hAnsi="Times New Roman" w:cs="Times New Roman" w:hint="eastAsia"/>
          <w:sz w:val="20"/>
          <w:szCs w:val="20"/>
        </w:rPr>
        <w:t xml:space="preserve"> coupling loss</w:t>
      </w:r>
      <w:r>
        <w:rPr>
          <w:rFonts w:ascii="Times New Roman" w:hAnsi="Times New Roman" w:cs="Times New Roman"/>
          <w:sz w:val="20"/>
          <w:szCs w:val="20"/>
        </w:rPr>
        <w:t xml:space="preserve"> along with lower </w:t>
      </w:r>
      <w:r>
        <w:rPr>
          <w:rFonts w:ascii="Times New Roman" w:hAnsi="Times New Roman" w:cs="Times New Roman" w:hint="eastAsia"/>
          <w:sz w:val="20"/>
          <w:szCs w:val="20"/>
        </w:rPr>
        <w:t xml:space="preserve">CNR </w:t>
      </w:r>
      <w:r>
        <w:rPr>
          <w:rFonts w:ascii="Times New Roman" w:hAnsi="Times New Roman" w:cs="Times New Roman"/>
          <w:sz w:val="20"/>
          <w:szCs w:val="20"/>
        </w:rPr>
        <w:t xml:space="preserve">can be found, especially in case of UEs in </w:t>
      </w:r>
      <w:proofErr w:type="spellStart"/>
      <w:r>
        <w:rPr>
          <w:rFonts w:ascii="Times New Roman" w:hAnsi="Times New Roman" w:cs="Times New Roman"/>
          <w:sz w:val="20"/>
          <w:szCs w:val="20"/>
        </w:rPr>
        <w:t>NLoS</w:t>
      </w:r>
      <w:proofErr w:type="spellEnd"/>
      <w:r>
        <w:rPr>
          <w:rFonts w:ascii="Times New Roman" w:hAnsi="Times New Roman" w:cs="Times New Roman"/>
          <w:sz w:val="20"/>
          <w:szCs w:val="20"/>
        </w:rPr>
        <w:t xml:space="preserve"> condition</w:t>
      </w:r>
      <w:r>
        <w:rPr>
          <w:rFonts w:ascii="Times New Roman" w:hAnsi="Times New Roman" w:cs="Times New Roman" w:hint="eastAsia"/>
          <w:sz w:val="20"/>
          <w:szCs w:val="20"/>
        </w:rPr>
        <w:t xml:space="preserve">. Taking the coupling loss distribution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_Ref20878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and</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_Ref20881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2</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as examples, where Set-1, Set-2, Set-3, and Set-4 are 4 parameter sets suggested in </w:t>
      </w:r>
      <w:r>
        <w:rPr>
          <w:rFonts w:ascii="Times New Roman" w:hAnsi="Times New Roman" w:cs="Times New Roman" w:hint="eastAsia"/>
          <w:sz w:val="20"/>
          <w:szCs w:val="20"/>
        </w:rPr>
        <w:fldChar w:fldCharType="begin"/>
      </w:r>
      <w:r>
        <w:rPr>
          <w:rFonts w:ascii="Times New Roman" w:hAnsi="Times New Roman" w:cs="Times New Roman"/>
          <w:sz w:val="20"/>
          <w:szCs w:val="20"/>
        </w:rPr>
        <w:instrText xml:space="preserve"> REF _Ref11125 \n \h  \* MERGEFORMAT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and </w:t>
      </w:r>
      <w:r>
        <w:rPr>
          <w:rFonts w:ascii="Times New Roman" w:hAnsi="Times New Roman" w:cs="Times New Roman" w:hint="eastAsia"/>
          <w:sz w:val="20"/>
          <w:szCs w:val="20"/>
        </w:rPr>
        <w:fldChar w:fldCharType="begin"/>
      </w:r>
      <w:r>
        <w:rPr>
          <w:rFonts w:ascii="Times New Roman" w:hAnsi="Times New Roman" w:cs="Times New Roman"/>
          <w:sz w:val="20"/>
          <w:szCs w:val="20"/>
        </w:rPr>
        <w:instrText xml:space="preserve"> REF _Ref11053 \n \h  \* MERGEFORMAT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[5]</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w:t>
      </w:r>
      <w:r>
        <w:rPr>
          <w:rFonts w:ascii="Times New Roman" w:hAnsi="Times New Roman" w:cs="Times New Roman"/>
          <w:sz w:val="20"/>
          <w:szCs w:val="20"/>
        </w:rPr>
        <w:t xml:space="preserve"> the LoS probability of the UE </w:t>
      </w:r>
      <w:r>
        <w:rPr>
          <w:rFonts w:ascii="Times New Roman" w:hAnsi="Times New Roman" w:cs="Times New Roman" w:hint="eastAsia"/>
          <w:sz w:val="20"/>
          <w:szCs w:val="20"/>
        </w:rPr>
        <w:t xml:space="preserve">in urban scenario is </w:t>
      </w:r>
      <w:r>
        <w:rPr>
          <w:rFonts w:ascii="Times New Roman" w:hAnsi="Times New Roman" w:cs="Times New Roman"/>
          <w:sz w:val="20"/>
          <w:szCs w:val="20"/>
        </w:rPr>
        <w:t>assumed according to the Table 6.6.1-1 in</w:t>
      </w:r>
      <w:r>
        <w:rPr>
          <w:rFonts w:ascii="Times New Roman" w:hAnsi="Times New Roman" w:cs="Times New Roman" w:hint="eastAsia"/>
          <w:sz w:val="20"/>
          <w:szCs w:val="20"/>
        </w:rPr>
        <w:t xml:space="preserve"> </w:t>
      </w:r>
      <w:r>
        <w:rPr>
          <w:rFonts w:ascii="Times New Roman" w:hAnsi="Times New Roman" w:cs="Times New Roman" w:hint="eastAsia"/>
          <w:sz w:val="20"/>
          <w:szCs w:val="20"/>
        </w:rPr>
        <w:fldChar w:fldCharType="begin"/>
      </w:r>
      <w:r>
        <w:rPr>
          <w:rFonts w:ascii="Times New Roman" w:hAnsi="Times New Roman" w:cs="Times New Roman"/>
          <w:sz w:val="20"/>
          <w:szCs w:val="20"/>
        </w:rPr>
        <w:instrText xml:space="preserve"> REF _Ref11125 \n \h  \* MERGEFORMAT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It can be found that</w:t>
      </w:r>
      <w:r>
        <w:rPr>
          <w:rFonts w:ascii="Times New Roman" w:hAnsi="Times New Roman" w:cs="Times New Roman"/>
          <w:sz w:val="20"/>
          <w:szCs w:val="20"/>
        </w:rPr>
        <w:t xml:space="preserve"> a large number of UEs experience a CL larger than 164 dB. The CLs of about 50% GEO UEs are larger than 164 dB, and the CLs of about 30% LEO-600 UEs are larger than 164 dB.</w:t>
      </w:r>
    </w:p>
    <w:p w:rsidR="006202DE" w:rsidRDefault="00D765A3">
      <w:pPr>
        <w:ind w:left="420"/>
        <w:rPr>
          <w:rFonts w:ascii="Times New Roman" w:hAnsi="Times New Roman" w:cs="Times New Roman"/>
          <w:b/>
          <w:bCs/>
          <w:i/>
          <w:iCs/>
          <w:sz w:val="20"/>
          <w:szCs w:val="20"/>
        </w:rPr>
      </w:pPr>
      <w:r>
        <w:rPr>
          <w:rFonts w:ascii="Times New Roman" w:hAnsi="Times New Roman" w:cs="Times New Roman" w:hint="eastAsia"/>
          <w:sz w:val="20"/>
          <w:szCs w:val="20"/>
        </w:rPr>
        <w:t xml:space="preserve">Such large coupling loss is not expected by NB-IoT and eMTC devices, </w:t>
      </w:r>
      <w:r w:rsidR="00C77383">
        <w:rPr>
          <w:rFonts w:ascii="Times New Roman" w:hAnsi="Times New Roman" w:cs="Times New Roman" w:hint="eastAsia"/>
          <w:sz w:val="20"/>
          <w:szCs w:val="20"/>
        </w:rPr>
        <w:t>and</w:t>
      </w:r>
      <w:r w:rsidR="00C77383">
        <w:rPr>
          <w:rFonts w:ascii="Times New Roman" w:hAnsi="Times New Roman" w:cs="Times New Roman"/>
          <w:sz w:val="20"/>
          <w:szCs w:val="20"/>
        </w:rPr>
        <w:t xml:space="preserve"> </w:t>
      </w:r>
      <w:r>
        <w:rPr>
          <w:rFonts w:ascii="Times New Roman" w:hAnsi="Times New Roman" w:cs="Times New Roman" w:hint="eastAsia"/>
          <w:sz w:val="20"/>
          <w:szCs w:val="20"/>
        </w:rPr>
        <w:t xml:space="preserve">performance enhancement, e.g., higher repetition number or more suitable MCS, on data transmission should be considered if these </w:t>
      </w:r>
      <w:r w:rsidR="00122AC1">
        <w:rPr>
          <w:rFonts w:ascii="Times New Roman" w:hAnsi="Times New Roman" w:cs="Times New Roman"/>
          <w:sz w:val="20"/>
          <w:szCs w:val="20"/>
        </w:rPr>
        <w:t xml:space="preserve">UEs </w:t>
      </w:r>
      <w:r>
        <w:rPr>
          <w:rFonts w:ascii="Times New Roman" w:hAnsi="Times New Roman" w:cs="Times New Roman" w:hint="eastAsia"/>
          <w:sz w:val="20"/>
          <w:szCs w:val="20"/>
        </w:rPr>
        <w:t xml:space="preserve">are supported. </w:t>
      </w:r>
    </w:p>
    <w:tbl>
      <w:tblPr>
        <w:tblStyle w:val="ab"/>
        <w:tblW w:w="8296" w:type="dxa"/>
        <w:jc w:val="center"/>
        <w:tblLayout w:type="fixed"/>
        <w:tblLook w:val="04A0" w:firstRow="1" w:lastRow="0" w:firstColumn="1" w:lastColumn="0" w:noHBand="0" w:noVBand="1"/>
      </w:tblPr>
      <w:tblGrid>
        <w:gridCol w:w="4121"/>
        <w:gridCol w:w="4175"/>
      </w:tblGrid>
      <w:tr w:rsidR="006202DE">
        <w:trPr>
          <w:jc w:val="center"/>
        </w:trPr>
        <w:tc>
          <w:tcPr>
            <w:tcW w:w="4121" w:type="dxa"/>
          </w:tcPr>
          <w:p w:rsidR="006202DE" w:rsidRDefault="00D765A3">
            <w:pPr>
              <w:rPr>
                <w:sz w:val="20"/>
                <w:szCs w:val="20"/>
              </w:rPr>
            </w:pPr>
            <w:r>
              <w:rPr>
                <w:noProof/>
              </w:rPr>
              <w:drawing>
                <wp:inline distT="0" distB="0" distL="114300" distR="114300">
                  <wp:extent cx="2565400" cy="19240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6"/>
                          <a:stretch>
                            <a:fillRect/>
                          </a:stretch>
                        </pic:blipFill>
                        <pic:spPr>
                          <a:xfrm>
                            <a:off x="0" y="0"/>
                            <a:ext cx="2565400" cy="1924050"/>
                          </a:xfrm>
                          <a:prstGeom prst="rect">
                            <a:avLst/>
                          </a:prstGeom>
                          <a:noFill/>
                          <a:ln w="9525">
                            <a:noFill/>
                          </a:ln>
                        </pic:spPr>
                      </pic:pic>
                    </a:graphicData>
                  </a:graphic>
                </wp:inline>
              </w:drawing>
            </w:r>
          </w:p>
          <w:p w:rsidR="006202DE" w:rsidRDefault="00D765A3">
            <w:pPr>
              <w:pStyle w:val="a3"/>
              <w:rPr>
                <w:b w:val="0"/>
              </w:rPr>
            </w:pPr>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r>
              <w:rPr>
                <w:b w:val="0"/>
                <w:lang w:val="en-US"/>
              </w:rPr>
              <w:t xml:space="preserve"> </w:t>
            </w:r>
            <w:r>
              <w:rPr>
                <w:b w:val="0"/>
              </w:rPr>
              <w:t xml:space="preserve"> </w:t>
            </w:r>
            <w:proofErr w:type="spellStart"/>
            <w:r>
              <w:rPr>
                <w:b w:val="0"/>
              </w:rPr>
              <w:t>GEO_ubran</w:t>
            </w:r>
            <w:proofErr w:type="spellEnd"/>
          </w:p>
        </w:tc>
        <w:tc>
          <w:tcPr>
            <w:tcW w:w="4175" w:type="dxa"/>
          </w:tcPr>
          <w:p w:rsidR="006202DE" w:rsidRDefault="00D765A3">
            <w:pPr>
              <w:rPr>
                <w:sz w:val="20"/>
                <w:szCs w:val="20"/>
              </w:rPr>
            </w:pPr>
            <w:r>
              <w:rPr>
                <w:noProof/>
              </w:rPr>
              <w:drawing>
                <wp:inline distT="0" distB="0" distL="114300" distR="114300">
                  <wp:extent cx="2565400" cy="19240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47"/>
                          <a:stretch>
                            <a:fillRect/>
                          </a:stretch>
                        </pic:blipFill>
                        <pic:spPr>
                          <a:xfrm>
                            <a:off x="0" y="0"/>
                            <a:ext cx="2565400" cy="1924050"/>
                          </a:xfrm>
                          <a:prstGeom prst="rect">
                            <a:avLst/>
                          </a:prstGeom>
                          <a:noFill/>
                          <a:ln w="9525">
                            <a:noFill/>
                          </a:ln>
                        </pic:spPr>
                      </pic:pic>
                    </a:graphicData>
                  </a:graphic>
                </wp:inline>
              </w:drawing>
            </w:r>
          </w:p>
          <w:p w:rsidR="006202DE" w:rsidRDefault="00D765A3">
            <w:pPr>
              <w:pStyle w:val="a3"/>
              <w:rPr>
                <w:b w:val="0"/>
              </w:rPr>
            </w:pPr>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r>
              <w:rPr>
                <w:b w:val="0"/>
                <w:lang w:val="en-US"/>
              </w:rPr>
              <w:t xml:space="preserve">  </w:t>
            </w:r>
            <w:r>
              <w:rPr>
                <w:b w:val="0"/>
              </w:rPr>
              <w:t xml:space="preserve">LEO-600_urban  </w:t>
            </w:r>
          </w:p>
        </w:tc>
      </w:tr>
    </w:tbl>
    <w:p w:rsidR="006202DE" w:rsidRDefault="00D765A3">
      <w:pPr>
        <w:spacing w:beforeLines="50" w:before="120"/>
        <w:rPr>
          <w:sz w:val="20"/>
          <w:szCs w:val="20"/>
        </w:rPr>
      </w:pPr>
      <w:r>
        <w:rPr>
          <w:rFonts w:ascii="Times New Roman" w:hAnsi="Times New Roman" w:cs="Times New Roman" w:hint="eastAsia"/>
          <w:b/>
          <w:bCs/>
          <w:i/>
          <w:iCs/>
          <w:sz w:val="20"/>
          <w:szCs w:val="20"/>
        </w:rPr>
        <w:t>Proposal 3:</w:t>
      </w:r>
      <w:r>
        <w:rPr>
          <w:rFonts w:ascii="Times New Roman" w:hAnsi="Times New Roman" w:cs="Times New Roman" w:hint="eastAsia"/>
          <w:i/>
          <w:iCs/>
          <w:sz w:val="20"/>
          <w:szCs w:val="20"/>
        </w:rPr>
        <w:t xml:space="preserve"> Enhancement on </w:t>
      </w:r>
      <w:r>
        <w:rPr>
          <w:rFonts w:ascii="Times New Roman" w:hAnsi="Times New Roman" w:cs="Times New Roman"/>
          <w:i/>
          <w:iCs/>
          <w:sz w:val="20"/>
          <w:szCs w:val="20"/>
        </w:rPr>
        <w:t xml:space="preserve">coverage </w:t>
      </w:r>
      <w:r>
        <w:rPr>
          <w:rFonts w:ascii="Times New Roman" w:hAnsi="Times New Roman" w:cs="Times New Roman" w:hint="eastAsia"/>
          <w:i/>
          <w:iCs/>
          <w:sz w:val="20"/>
          <w:szCs w:val="20"/>
        </w:rPr>
        <w:t xml:space="preserve">should be considered if scenarios </w:t>
      </w:r>
      <w:r>
        <w:rPr>
          <w:rFonts w:ascii="Times New Roman" w:hAnsi="Times New Roman" w:cs="Times New Roman"/>
          <w:i/>
          <w:iCs/>
          <w:sz w:val="20"/>
          <w:szCs w:val="20"/>
        </w:rPr>
        <w:t xml:space="preserve">beyond exiting </w:t>
      </w:r>
      <w:r w:rsidR="00C827E1">
        <w:rPr>
          <w:rFonts w:ascii="Times New Roman" w:hAnsi="Times New Roman" w:cs="Times New Roman"/>
          <w:i/>
          <w:iCs/>
          <w:sz w:val="20"/>
          <w:szCs w:val="20"/>
        </w:rPr>
        <w:t xml:space="preserve">system </w:t>
      </w:r>
      <w:r>
        <w:rPr>
          <w:rFonts w:ascii="Times New Roman" w:hAnsi="Times New Roman" w:cs="Times New Roman"/>
          <w:i/>
          <w:iCs/>
          <w:sz w:val="20"/>
          <w:szCs w:val="20"/>
        </w:rPr>
        <w:t>capability</w:t>
      </w:r>
      <w:r>
        <w:rPr>
          <w:rFonts w:ascii="Times New Roman" w:hAnsi="Times New Roman" w:cs="Times New Roman" w:hint="eastAsia"/>
          <w:i/>
          <w:iCs/>
          <w:sz w:val="20"/>
          <w:szCs w:val="20"/>
        </w:rPr>
        <w:t xml:space="preserve"> are supported.</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Maintaining HARQ process continuity in serving cell change</w:t>
      </w:r>
    </w:p>
    <w:p w:rsidR="006202DE" w:rsidRDefault="00D765A3">
      <w:pPr>
        <w:numPr>
          <w:ilvl w:val="255"/>
          <w:numId w:val="0"/>
        </w:numPr>
        <w:ind w:left="420"/>
        <w:rPr>
          <w:rFonts w:ascii="Times New Roman" w:hAnsi="Times New Roman" w:cs="Times New Roman"/>
          <w:sz w:val="20"/>
          <w:szCs w:val="20"/>
        </w:rPr>
      </w:pPr>
      <w:r>
        <w:rPr>
          <w:rFonts w:ascii="Times New Roman" w:hAnsi="Times New Roman" w:cs="Times New Roman" w:hint="eastAsia"/>
          <w:sz w:val="20"/>
          <w:szCs w:val="20"/>
        </w:rPr>
        <w:t xml:space="preserve">Long UL/DL transmission </w:t>
      </w:r>
      <w:r w:rsidR="00890B20">
        <w:rPr>
          <w:rFonts w:ascii="Times New Roman" w:hAnsi="Times New Roman" w:cs="Times New Roman"/>
          <w:sz w:val="20"/>
          <w:szCs w:val="20"/>
        </w:rPr>
        <w:t>with larger</w:t>
      </w:r>
      <w:r w:rsidR="00890B2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repetition number is supported in terrestrial IoT system. For IoT over NTN, there may exist corresponding long UL/DL transmission e.g., up to N*256ms, in a cell/beam. Moreover, the transmission may go through different cells/beams because the lasting time of transmission may surpass the serving time of a satellite beam, especially for LEO satellite scenario. </w:t>
      </w:r>
    </w:p>
    <w:p w:rsidR="006202DE" w:rsidRDefault="00D765A3">
      <w:pPr>
        <w:numPr>
          <w:ilvl w:val="255"/>
          <w:numId w:val="0"/>
        </w:numPr>
        <w:ind w:left="420"/>
        <w:rPr>
          <w:rFonts w:ascii="Times New Roman" w:hAnsi="Times New Roman" w:cs="Times New Roman"/>
          <w:sz w:val="20"/>
          <w:szCs w:val="20"/>
        </w:rPr>
      </w:pPr>
      <w:r>
        <w:rPr>
          <w:rFonts w:ascii="Times New Roman" w:hAnsi="Times New Roman" w:cs="Times New Roman" w:hint="eastAsia"/>
          <w:sz w:val="20"/>
          <w:szCs w:val="20"/>
        </w:rPr>
        <w:t xml:space="preserve">As discussed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_Ref14011 \n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[6]</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as to the mobility of IoT, introducing beam management mechanism is preferable from the perspective of avoid much impact from high layer and much complexity. Therefore, HARQ continuity in beam switch should be considered in priority compared with that in serving cell change since beam switch happens more frequently. To tackle this problem, when a long transmission does not completely end while the UE moving out of a first beam coverage, </w:t>
      </w:r>
      <w:r>
        <w:rPr>
          <w:rFonts w:ascii="Times New Roman" w:hAnsi="Times New Roman" w:cs="Times New Roman"/>
          <w:sz w:val="20"/>
          <w:szCs w:val="20"/>
        </w:rPr>
        <w:t>the</w:t>
      </w:r>
      <w:r>
        <w:rPr>
          <w:rFonts w:ascii="Times New Roman" w:hAnsi="Times New Roman" w:cs="Times New Roman" w:hint="eastAsia"/>
          <w:sz w:val="20"/>
          <w:szCs w:val="20"/>
        </w:rPr>
        <w:t xml:space="preserve"> gNB may determine to continue the transmission via a different service beam</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e.g.</w:t>
      </w:r>
      <w:r w:rsidR="00FB39FE">
        <w:rPr>
          <w:rFonts w:ascii="Times New Roman" w:hAnsi="Times New Roman" w:cs="Times New Roman"/>
          <w:sz w:val="20"/>
          <w:szCs w:val="20"/>
        </w:rPr>
        <w:t>, via</w:t>
      </w:r>
      <w:r>
        <w:rPr>
          <w:rFonts w:ascii="Times New Roman" w:hAnsi="Times New Roman" w:cs="Times New Roman" w:hint="eastAsia"/>
          <w:sz w:val="20"/>
          <w:szCs w:val="20"/>
        </w:rPr>
        <w:t xml:space="preserve"> indicat</w:t>
      </w:r>
      <w:r>
        <w:rPr>
          <w:rFonts w:ascii="Times New Roman" w:hAnsi="Times New Roman" w:cs="Times New Roman"/>
          <w:sz w:val="20"/>
          <w:szCs w:val="20"/>
        </w:rPr>
        <w:t>ing</w:t>
      </w:r>
      <w:r>
        <w:rPr>
          <w:rFonts w:ascii="Times New Roman" w:hAnsi="Times New Roman" w:cs="Times New Roman" w:hint="eastAsia"/>
          <w:sz w:val="20"/>
          <w:szCs w:val="20"/>
        </w:rPr>
        <w:t xml:space="preserve"> beam switching</w:t>
      </w:r>
      <w:r>
        <w:rPr>
          <w:rFonts w:ascii="Times New Roman" w:hAnsi="Times New Roman" w:cs="Times New Roman"/>
          <w:sz w:val="20"/>
          <w:szCs w:val="20"/>
        </w:rPr>
        <w:t>,</w:t>
      </w:r>
      <w:r>
        <w:rPr>
          <w:rFonts w:ascii="Times New Roman" w:hAnsi="Times New Roman" w:cs="Times New Roman" w:hint="eastAsia"/>
          <w:sz w:val="20"/>
          <w:szCs w:val="20"/>
        </w:rPr>
        <w:t xml:space="preserve"> and a second beam can be employed for </w:t>
      </w:r>
      <w:r>
        <w:rPr>
          <w:rFonts w:ascii="Times New Roman" w:hAnsi="Times New Roman" w:cs="Times New Roman"/>
          <w:sz w:val="20"/>
          <w:szCs w:val="20"/>
        </w:rPr>
        <w:t>the</w:t>
      </w:r>
      <w:r>
        <w:rPr>
          <w:rFonts w:ascii="Times New Roman" w:hAnsi="Times New Roman" w:cs="Times New Roman" w:hint="eastAsia"/>
          <w:sz w:val="20"/>
          <w:szCs w:val="20"/>
        </w:rPr>
        <w:t xml:space="preserve"> next repeated transmission.</w:t>
      </w:r>
    </w:p>
    <w:p w:rsidR="006202DE" w:rsidRDefault="00D765A3">
      <w:pPr>
        <w:numPr>
          <w:ilvl w:val="255"/>
          <w:numId w:val="0"/>
        </w:num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4:</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 xml:space="preserve">In IoT over NTN, enhanced repeated transmission to </w:t>
      </w:r>
      <w:r>
        <w:rPr>
          <w:rFonts w:ascii="Times New Roman" w:hAnsi="Times New Roman" w:cs="Times New Roman" w:hint="eastAsia"/>
          <w:i/>
          <w:iCs/>
          <w:sz w:val="20"/>
          <w:szCs w:val="20"/>
        </w:rPr>
        <w:t>keep HARQ process continuity in</w:t>
      </w:r>
      <w:r>
        <w:rPr>
          <w:rFonts w:ascii="Times New Roman" w:hAnsi="Times New Roman" w:cs="Times New Roman"/>
          <w:i/>
          <w:iCs/>
          <w:sz w:val="20"/>
          <w:szCs w:val="20"/>
        </w:rPr>
        <w:t xml:space="preserve"> beam switch should be studied. </w:t>
      </w:r>
    </w:p>
    <w:p w:rsidR="006202DE" w:rsidRDefault="00D765A3">
      <w:pPr>
        <w:numPr>
          <w:ilvl w:val="0"/>
          <w:numId w:val="6"/>
        </w:numPr>
        <w:rPr>
          <w:rFonts w:ascii="Times New Roman" w:hAnsi="Times New Roman" w:cs="Times New Roman"/>
          <w:sz w:val="20"/>
          <w:szCs w:val="20"/>
        </w:rPr>
      </w:pPr>
      <w:r>
        <w:rPr>
          <w:rFonts w:ascii="Times New Roman" w:hAnsi="Times New Roman" w:cs="Times New Roman" w:hint="eastAsia"/>
          <w:sz w:val="20"/>
          <w:szCs w:val="20"/>
        </w:rPr>
        <w:t>Multiple TB</w:t>
      </w:r>
      <w:r>
        <w:rPr>
          <w:rFonts w:ascii="Times New Roman" w:hAnsi="Times New Roman" w:cs="Times New Roman"/>
          <w:sz w:val="20"/>
          <w:szCs w:val="20"/>
        </w:rPr>
        <w:t>s</w:t>
      </w:r>
      <w:r>
        <w:rPr>
          <w:rFonts w:ascii="Times New Roman" w:hAnsi="Times New Roman" w:cs="Times New Roman" w:hint="eastAsia"/>
          <w:sz w:val="20"/>
          <w:szCs w:val="20"/>
        </w:rPr>
        <w:t xml:space="preserve"> scheduling</w:t>
      </w:r>
    </w:p>
    <w:p w:rsidR="006202DE" w:rsidRDefault="00D765A3">
      <w:pPr>
        <w:ind w:left="420"/>
        <w:rPr>
          <w:rFonts w:ascii="Times New Roman" w:hAnsi="Times New Roman" w:cs="Times New Roman"/>
          <w:sz w:val="20"/>
          <w:szCs w:val="20"/>
        </w:rPr>
      </w:pPr>
      <w:r>
        <w:rPr>
          <w:rFonts w:ascii="Times New Roman" w:hAnsi="Times New Roman" w:cs="Times New Roman" w:hint="eastAsia"/>
          <w:sz w:val="20"/>
          <w:szCs w:val="20"/>
        </w:rPr>
        <w:t>Multiple TB</w:t>
      </w:r>
      <w:r>
        <w:rPr>
          <w:rFonts w:ascii="Times New Roman" w:hAnsi="Times New Roman" w:cs="Times New Roman"/>
          <w:sz w:val="20"/>
          <w:szCs w:val="20"/>
        </w:rPr>
        <w:t>s</w:t>
      </w:r>
      <w:r>
        <w:rPr>
          <w:rFonts w:ascii="Times New Roman" w:hAnsi="Times New Roman" w:cs="Times New Roman" w:hint="eastAsia"/>
          <w:sz w:val="20"/>
          <w:szCs w:val="20"/>
        </w:rPr>
        <w:t xml:space="preserve"> scheduling is already supported for NB-IoT and eMTC in Rel-16. Moreover, there is no clear intention that this feature should be precluded. Therefore, it is not necessary to pay more attention on whether this feature should be supported in IoT-NTN.</w:t>
      </w:r>
    </w:p>
    <w:p w:rsidR="006202DE" w:rsidRDefault="00D765A3">
      <w:pPr>
        <w:spacing w:beforeLines="50" w:before="120"/>
        <w:rPr>
          <w:rFonts w:ascii="Times New Roman" w:hAnsi="Times New Roman" w:cs="Times New Roman"/>
          <w:sz w:val="20"/>
          <w:szCs w:val="20"/>
        </w:rPr>
      </w:pPr>
      <w:r>
        <w:rPr>
          <w:rFonts w:ascii="Times New Roman" w:hAnsi="Times New Roman" w:cs="Times New Roman" w:hint="eastAsia"/>
          <w:b/>
          <w:bCs/>
          <w:i/>
          <w:iCs/>
          <w:sz w:val="20"/>
          <w:szCs w:val="20"/>
        </w:rPr>
        <w:t>Proposal 5:</w:t>
      </w:r>
      <w:r>
        <w:rPr>
          <w:rFonts w:ascii="Times New Roman" w:hAnsi="Times New Roman" w:cs="Times New Roman" w:hint="eastAsia"/>
          <w:i/>
          <w:iCs/>
          <w:sz w:val="20"/>
          <w:szCs w:val="20"/>
        </w:rPr>
        <w:t xml:space="preserve"> Multiple TB</w:t>
      </w:r>
      <w:r w:rsidR="005422C0">
        <w:rPr>
          <w:rFonts w:ascii="Times New Roman" w:hAnsi="Times New Roman" w:cs="Times New Roman"/>
          <w:i/>
          <w:iCs/>
          <w:sz w:val="20"/>
          <w:szCs w:val="20"/>
        </w:rPr>
        <w:t>s</w:t>
      </w:r>
      <w:r>
        <w:rPr>
          <w:rFonts w:ascii="Times New Roman" w:hAnsi="Times New Roman" w:cs="Times New Roman" w:hint="eastAsia"/>
          <w:i/>
          <w:iCs/>
          <w:sz w:val="20"/>
          <w:szCs w:val="20"/>
        </w:rPr>
        <w:t xml:space="preserve"> scheduling is supported in IoT-NTN as in traditional TN.</w:t>
      </w:r>
    </w:p>
    <w:p w:rsidR="006202DE" w:rsidRDefault="00D765A3">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rsidR="006202DE" w:rsidRDefault="00D765A3">
      <w:pPr>
        <w:pStyle w:val="af"/>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discussion of the enhancement 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HARQ for IoT-NTN </w:t>
      </w:r>
      <w:r>
        <w:rPr>
          <w:rFonts w:ascii="Times New Roman" w:eastAsia="宋体" w:hAnsi="Times New Roman" w:cs="Times New Roman"/>
          <w:sz w:val="20"/>
          <w:szCs w:val="20"/>
        </w:rPr>
        <w:t>is conducted with following observations and proposals:</w:t>
      </w:r>
    </w:p>
    <w:p w:rsidR="006202DE" w:rsidRDefault="00D765A3">
      <w:pPr>
        <w:rPr>
          <w:rFonts w:ascii="Times New Roman" w:hAnsi="Times New Roman" w:cs="Times New Roman"/>
          <w:b/>
          <w:bCs/>
          <w:i/>
          <w:iCs/>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1: </w:t>
      </w:r>
      <w:r>
        <w:rPr>
          <w:rFonts w:ascii="Times New Roman" w:hAnsi="Times New Roman" w:cs="Times New Roman" w:hint="eastAsia"/>
          <w:i/>
          <w:iCs/>
          <w:sz w:val="20"/>
          <w:szCs w:val="20"/>
        </w:rPr>
        <w:t>The maximum throughput in DL of IoT-NTN is reduced due to HARQ stalling.</w:t>
      </w:r>
    </w:p>
    <w:p w:rsidR="006202DE" w:rsidRDefault="00D765A3">
      <w:pPr>
        <w:rPr>
          <w:rFonts w:ascii="Times New Roman" w:hAnsi="Times New Roman" w:cs="Times New Roman"/>
          <w:i/>
          <w:iCs/>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2: </w:t>
      </w:r>
      <w:r>
        <w:rPr>
          <w:rFonts w:ascii="Times New Roman" w:hAnsi="Times New Roman" w:cs="Times New Roman" w:hint="eastAsia"/>
          <w:i/>
          <w:iCs/>
          <w:sz w:val="20"/>
          <w:szCs w:val="20"/>
        </w:rPr>
        <w:t>The maximum throughput in UL of IoT-NTN will not be significantly affected by HARQ stalling when proper parameter setting is applied.</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3:</w:t>
      </w:r>
      <w:r>
        <w:rPr>
          <w:rFonts w:ascii="Times New Roman" w:hAnsi="Times New Roman" w:cs="Times New Roman" w:hint="eastAsia"/>
          <w:i/>
          <w:iCs/>
          <w:sz w:val="20"/>
          <w:szCs w:val="20"/>
        </w:rPr>
        <w:t xml:space="preserve"> Reduced PDCCH monitoring can be achieved by enhancing HARQ RTT Timer.</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1:</w:t>
      </w:r>
      <w:r>
        <w:rPr>
          <w:rFonts w:ascii="Times New Roman" w:hAnsi="Times New Roman" w:cs="Times New Roman" w:hint="eastAsia"/>
          <w:i/>
          <w:iCs/>
          <w:sz w:val="20"/>
          <w:szCs w:val="20"/>
        </w:rPr>
        <w:t xml:space="preserve"> HARQ process number for NB-IoT/eMTC in terrestrial network is reused for IoT-NTN.</w:t>
      </w:r>
    </w:p>
    <w:p w:rsidR="00760590" w:rsidRDefault="00760590" w:rsidP="00760590">
      <w:p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2:</w:t>
      </w:r>
      <w:r>
        <w:rPr>
          <w:rFonts w:ascii="Times New Roman" w:hAnsi="Times New Roman" w:cs="Times New Roman" w:hint="eastAsia"/>
          <w:i/>
          <w:iCs/>
          <w:sz w:val="20"/>
          <w:szCs w:val="20"/>
        </w:rPr>
        <w:t xml:space="preserve"> HARQ feedback disabling </w:t>
      </w:r>
      <w:r>
        <w:rPr>
          <w:rFonts w:ascii="Times New Roman" w:hAnsi="Times New Roman" w:cs="Times New Roman"/>
          <w:i/>
          <w:iCs/>
          <w:sz w:val="20"/>
          <w:szCs w:val="20"/>
        </w:rPr>
        <w:t xml:space="preserve">for DL </w:t>
      </w:r>
      <w:r>
        <w:rPr>
          <w:rFonts w:ascii="Times New Roman" w:hAnsi="Times New Roman" w:cs="Times New Roman" w:hint="eastAsia"/>
          <w:i/>
          <w:iCs/>
          <w:sz w:val="20"/>
          <w:szCs w:val="20"/>
        </w:rPr>
        <w:t>can be supported in IoT-NTN.</w:t>
      </w:r>
    </w:p>
    <w:p w:rsidR="00B32C59" w:rsidRDefault="00B32C59" w:rsidP="00B32C59">
      <w:pPr>
        <w:spacing w:beforeLines="50" w:before="120"/>
        <w:rPr>
          <w:sz w:val="20"/>
          <w:szCs w:val="20"/>
        </w:rPr>
      </w:pPr>
      <w:r>
        <w:rPr>
          <w:rFonts w:ascii="Times New Roman" w:hAnsi="Times New Roman" w:cs="Times New Roman" w:hint="eastAsia"/>
          <w:b/>
          <w:bCs/>
          <w:i/>
          <w:iCs/>
          <w:sz w:val="20"/>
          <w:szCs w:val="20"/>
        </w:rPr>
        <w:t>Proposal 3:</w:t>
      </w:r>
      <w:r>
        <w:rPr>
          <w:rFonts w:ascii="Times New Roman" w:hAnsi="Times New Roman" w:cs="Times New Roman" w:hint="eastAsia"/>
          <w:i/>
          <w:iCs/>
          <w:sz w:val="20"/>
          <w:szCs w:val="20"/>
        </w:rPr>
        <w:t xml:space="preserve"> Enhancement on </w:t>
      </w:r>
      <w:r>
        <w:rPr>
          <w:rFonts w:ascii="Times New Roman" w:hAnsi="Times New Roman" w:cs="Times New Roman"/>
          <w:i/>
          <w:iCs/>
          <w:sz w:val="20"/>
          <w:szCs w:val="20"/>
        </w:rPr>
        <w:t xml:space="preserve">coverage </w:t>
      </w:r>
      <w:r>
        <w:rPr>
          <w:rFonts w:ascii="Times New Roman" w:hAnsi="Times New Roman" w:cs="Times New Roman" w:hint="eastAsia"/>
          <w:i/>
          <w:iCs/>
          <w:sz w:val="20"/>
          <w:szCs w:val="20"/>
        </w:rPr>
        <w:t xml:space="preserve">should be considered if scenarios </w:t>
      </w:r>
      <w:r>
        <w:rPr>
          <w:rFonts w:ascii="Times New Roman" w:hAnsi="Times New Roman" w:cs="Times New Roman"/>
          <w:i/>
          <w:iCs/>
          <w:sz w:val="20"/>
          <w:szCs w:val="20"/>
        </w:rPr>
        <w:t>beyond exiting system capability</w:t>
      </w:r>
      <w:r>
        <w:rPr>
          <w:rFonts w:ascii="Times New Roman" w:hAnsi="Times New Roman" w:cs="Times New Roman" w:hint="eastAsia"/>
          <w:i/>
          <w:iCs/>
          <w:sz w:val="20"/>
          <w:szCs w:val="20"/>
        </w:rPr>
        <w:t xml:space="preserve"> are supported.</w:t>
      </w:r>
    </w:p>
    <w:p w:rsidR="006202DE" w:rsidRDefault="00D765A3">
      <w:pPr>
        <w:spacing w:beforeLines="50" w:before="120"/>
        <w:rPr>
          <w:rFonts w:ascii="Times New Roman" w:hAnsi="Times New Roman" w:cs="Times New Roman"/>
          <w:i/>
          <w:iCs/>
          <w:sz w:val="20"/>
          <w:szCs w:val="20"/>
        </w:rPr>
      </w:pPr>
      <w:r>
        <w:rPr>
          <w:rFonts w:ascii="Times New Roman" w:hAnsi="Times New Roman" w:cs="Times New Roman" w:hint="eastAsia"/>
          <w:b/>
          <w:bCs/>
          <w:i/>
          <w:iCs/>
          <w:sz w:val="20"/>
          <w:szCs w:val="20"/>
        </w:rPr>
        <w:t>Proposal 4:</w:t>
      </w:r>
      <w:r>
        <w:rPr>
          <w:rFonts w:ascii="Times New Roman" w:hAnsi="Times New Roman" w:cs="Times New Roman" w:hint="eastAsia"/>
          <w:i/>
          <w:iCs/>
          <w:sz w:val="20"/>
          <w:szCs w:val="20"/>
        </w:rPr>
        <w:t xml:space="preserve"> In IoT over NTN, enhanced repeated transmission to keep HARQ process continuity in beam switch should be studied. </w:t>
      </w:r>
    </w:p>
    <w:p w:rsidR="005422C0" w:rsidRDefault="005422C0" w:rsidP="005422C0">
      <w:pPr>
        <w:spacing w:beforeLines="50" w:before="120"/>
        <w:rPr>
          <w:rFonts w:ascii="Times New Roman" w:hAnsi="Times New Roman" w:cs="Times New Roman"/>
          <w:sz w:val="20"/>
          <w:szCs w:val="20"/>
        </w:rPr>
      </w:pPr>
      <w:r>
        <w:rPr>
          <w:rFonts w:ascii="Times New Roman" w:hAnsi="Times New Roman" w:cs="Times New Roman" w:hint="eastAsia"/>
          <w:b/>
          <w:bCs/>
          <w:i/>
          <w:iCs/>
          <w:sz w:val="20"/>
          <w:szCs w:val="20"/>
        </w:rPr>
        <w:t>Proposal 5:</w:t>
      </w:r>
      <w:r>
        <w:rPr>
          <w:rFonts w:ascii="Times New Roman" w:hAnsi="Times New Roman" w:cs="Times New Roman" w:hint="eastAsia"/>
          <w:i/>
          <w:iCs/>
          <w:sz w:val="20"/>
          <w:szCs w:val="20"/>
        </w:rPr>
        <w:t xml:space="preserve"> Multiple TB</w:t>
      </w:r>
      <w:r>
        <w:rPr>
          <w:rFonts w:ascii="Times New Roman" w:hAnsi="Times New Roman" w:cs="Times New Roman"/>
          <w:i/>
          <w:iCs/>
          <w:sz w:val="20"/>
          <w:szCs w:val="20"/>
        </w:rPr>
        <w:t>s</w:t>
      </w:r>
      <w:r>
        <w:rPr>
          <w:rFonts w:ascii="Times New Roman" w:hAnsi="Times New Roman" w:cs="Times New Roman" w:hint="eastAsia"/>
          <w:i/>
          <w:iCs/>
          <w:sz w:val="20"/>
          <w:szCs w:val="20"/>
        </w:rPr>
        <w:t xml:space="preserve"> scheduling is supported in IoT-NTN as in traditional TN.</w:t>
      </w:r>
    </w:p>
    <w:p w:rsidR="006202DE" w:rsidRDefault="00D765A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rsidR="006202DE" w:rsidRDefault="00D765A3">
      <w:pPr>
        <w:pStyle w:val="ListParagraph1"/>
        <w:numPr>
          <w:ilvl w:val="0"/>
          <w:numId w:val="7"/>
        </w:numPr>
        <w:spacing w:after="0" w:line="240" w:lineRule="auto"/>
        <w:ind w:left="505" w:hanging="505"/>
        <w:rPr>
          <w:rFonts w:ascii="Times New Roman" w:hAnsi="Times New Roman"/>
          <w:sz w:val="20"/>
          <w:szCs w:val="20"/>
        </w:rPr>
      </w:pPr>
      <w:bookmarkStart w:id="7" w:name="_Ref30861"/>
      <w:r>
        <w:rPr>
          <w:rFonts w:ascii="Times New Roman" w:hAnsi="Times New Roman" w:hint="eastAsia"/>
          <w:sz w:val="20"/>
          <w:szCs w:val="20"/>
        </w:rPr>
        <w:t xml:space="preserve">R1-2102132, Summary#4 for enhancements on HARQ, </w:t>
      </w:r>
      <w:r>
        <w:rPr>
          <w:rFonts w:ascii="Times New Roman" w:hAnsi="Times New Roman" w:hint="eastAsia"/>
          <w:sz w:val="20"/>
          <w:szCs w:val="20"/>
          <w:lang w:eastAsia="zh-TW"/>
        </w:rPr>
        <w:t>Samsung</w:t>
      </w:r>
      <w:r>
        <w:rPr>
          <w:rFonts w:ascii="Times New Roman" w:hAnsi="Times New Roman" w:hint="eastAsia"/>
          <w:sz w:val="20"/>
          <w:szCs w:val="20"/>
        </w:rPr>
        <w:t>.</w:t>
      </w:r>
      <w:bookmarkEnd w:id="7"/>
    </w:p>
    <w:p w:rsidR="006202DE" w:rsidRDefault="00D765A3">
      <w:pPr>
        <w:pStyle w:val="ListParagraph1"/>
        <w:numPr>
          <w:ilvl w:val="0"/>
          <w:numId w:val="7"/>
        </w:numPr>
        <w:spacing w:after="0" w:line="240" w:lineRule="auto"/>
        <w:ind w:left="505" w:hanging="505"/>
        <w:rPr>
          <w:rFonts w:ascii="Times New Roman" w:hAnsi="Times New Roman"/>
          <w:sz w:val="20"/>
          <w:szCs w:val="20"/>
        </w:rPr>
      </w:pPr>
      <w:bookmarkStart w:id="8" w:name="_Ref61370930"/>
      <w:bookmarkStart w:id="9" w:name="_Ref26477"/>
      <w:r>
        <w:rPr>
          <w:rFonts w:ascii="Times New Roman" w:hAnsi="Times New Roman" w:hint="eastAsia"/>
          <w:sz w:val="20"/>
          <w:szCs w:val="20"/>
        </w:rPr>
        <w:t>R1-2102265</w:t>
      </w:r>
      <w:bookmarkEnd w:id="8"/>
      <w:r>
        <w:rPr>
          <w:rFonts w:ascii="Times New Roman" w:hAnsi="Times New Roman" w:hint="eastAsia"/>
          <w:sz w:val="20"/>
          <w:szCs w:val="20"/>
        </w:rPr>
        <w:t>, Summary#5 of AI 8.15.1 Scenarios applicable to NB-IoT/eMTC, MediaTek</w:t>
      </w:r>
      <w:bookmarkEnd w:id="9"/>
    </w:p>
    <w:p w:rsidR="006202DE" w:rsidRDefault="00D765A3">
      <w:pPr>
        <w:pStyle w:val="ListParagraph1"/>
        <w:numPr>
          <w:ilvl w:val="0"/>
          <w:numId w:val="7"/>
        </w:numPr>
        <w:spacing w:after="0" w:line="240" w:lineRule="auto"/>
        <w:ind w:left="505" w:hanging="505"/>
        <w:rPr>
          <w:rFonts w:ascii="Times New Roman" w:hAnsi="Times New Roman"/>
          <w:sz w:val="20"/>
          <w:szCs w:val="20"/>
        </w:rPr>
      </w:pPr>
      <w:bookmarkStart w:id="10" w:name="_Ref19575"/>
      <w:bookmarkStart w:id="11" w:name="_Ref9986"/>
      <w:bookmarkStart w:id="12" w:name="_Ref3130"/>
      <w:r>
        <w:rPr>
          <w:rFonts w:ascii="Times New Roman" w:hAnsi="Times New Roman" w:hint="eastAsia"/>
          <w:sz w:val="20"/>
          <w:szCs w:val="20"/>
        </w:rPr>
        <w:t>R1-2100248, Discussion on the scenarios and assumption for IoT-NTN, ZTE.</w:t>
      </w:r>
      <w:bookmarkEnd w:id="10"/>
    </w:p>
    <w:p w:rsidR="006202DE" w:rsidRDefault="00D765A3">
      <w:pPr>
        <w:pStyle w:val="ListParagraph1"/>
        <w:numPr>
          <w:ilvl w:val="0"/>
          <w:numId w:val="7"/>
        </w:numPr>
        <w:spacing w:after="0" w:line="240" w:lineRule="auto"/>
        <w:ind w:left="505" w:hanging="505"/>
        <w:rPr>
          <w:rFonts w:ascii="Times New Roman" w:hAnsi="Times New Roman"/>
          <w:sz w:val="20"/>
          <w:szCs w:val="20"/>
        </w:rPr>
      </w:pPr>
      <w:bookmarkStart w:id="13" w:name="_Ref22299"/>
      <w:bookmarkStart w:id="14" w:name="_Ref11125"/>
      <w:r>
        <w:rPr>
          <w:rFonts w:ascii="Times New Roman" w:hAnsi="Times New Roman" w:hint="eastAsia"/>
          <w:sz w:val="20"/>
          <w:szCs w:val="20"/>
        </w:rPr>
        <w:t>TR38.821, Solution for NR to support NTN (Release 16)</w:t>
      </w:r>
      <w:bookmarkEnd w:id="13"/>
      <w:r>
        <w:rPr>
          <w:rFonts w:ascii="Times New Roman" w:hAnsi="Times New Roman" w:hint="eastAsia"/>
          <w:sz w:val="20"/>
          <w:szCs w:val="20"/>
        </w:rPr>
        <w:t>.</w:t>
      </w:r>
      <w:bookmarkEnd w:id="14"/>
    </w:p>
    <w:p w:rsidR="006202DE" w:rsidRDefault="00D765A3">
      <w:pPr>
        <w:pStyle w:val="ListParagraph1"/>
        <w:numPr>
          <w:ilvl w:val="0"/>
          <w:numId w:val="7"/>
        </w:numPr>
        <w:spacing w:after="0" w:line="240" w:lineRule="auto"/>
        <w:ind w:left="505" w:hanging="505"/>
        <w:rPr>
          <w:rFonts w:ascii="Times New Roman" w:hAnsi="Times New Roman" w:cs="Times New Roman"/>
          <w:sz w:val="20"/>
          <w:szCs w:val="20"/>
        </w:rPr>
      </w:pPr>
      <w:bookmarkStart w:id="15" w:name="_Ref22371"/>
      <w:bookmarkStart w:id="16" w:name="_Ref11053"/>
      <w:r>
        <w:rPr>
          <w:rFonts w:ascii="Times New Roman" w:hAnsi="Times New Roman" w:cs="Times New Roman"/>
          <w:sz w:val="20"/>
          <w:szCs w:val="20"/>
        </w:rPr>
        <w:t>R1-2008868, summary #4 of 8.15.1 IoT NTN Scenarios</w:t>
      </w:r>
      <w:bookmarkEnd w:id="15"/>
      <w:r>
        <w:rPr>
          <w:rFonts w:ascii="Times New Roman" w:hAnsi="Times New Roman" w:cs="Times New Roman"/>
          <w:sz w:val="20"/>
          <w:szCs w:val="20"/>
        </w:rPr>
        <w:t>.</w:t>
      </w:r>
      <w:bookmarkEnd w:id="16"/>
    </w:p>
    <w:p w:rsidR="006202DE" w:rsidRDefault="00D765A3">
      <w:pPr>
        <w:pStyle w:val="ListParagraph1"/>
        <w:numPr>
          <w:ilvl w:val="0"/>
          <w:numId w:val="7"/>
        </w:numPr>
        <w:spacing w:after="0" w:line="240" w:lineRule="auto"/>
        <w:ind w:left="505" w:hanging="505"/>
        <w:rPr>
          <w:rFonts w:ascii="Times New Roman" w:hAnsi="Times New Roman" w:cs="Times New Roman"/>
          <w:sz w:val="20"/>
          <w:szCs w:val="20"/>
        </w:rPr>
      </w:pPr>
      <w:bookmarkStart w:id="17" w:name="_Ref14011"/>
      <w:r>
        <w:rPr>
          <w:rFonts w:ascii="Times New Roman" w:hAnsi="Times New Roman" w:cs="Times New Roman" w:hint="eastAsia"/>
          <w:sz w:val="20"/>
          <w:szCs w:val="20"/>
        </w:rPr>
        <w:t xml:space="preserve">R1-2100252, Discussion on additional enhancements for IoT-NTN, ZTE </w:t>
      </w:r>
      <w:bookmarkEnd w:id="17"/>
    </w:p>
    <w:p w:rsidR="006202DE" w:rsidRDefault="006202DE">
      <w:pPr>
        <w:pStyle w:val="ListParagraph1"/>
        <w:numPr>
          <w:ilvl w:val="255"/>
          <w:numId w:val="0"/>
        </w:numPr>
        <w:spacing w:after="0" w:line="240" w:lineRule="auto"/>
        <w:rPr>
          <w:rFonts w:ascii="Times New Roman" w:hAnsi="Times New Roman"/>
          <w:sz w:val="20"/>
          <w:szCs w:val="20"/>
        </w:rPr>
      </w:pPr>
      <w:bookmarkStart w:id="18" w:name="_GoBack"/>
      <w:bookmarkEnd w:id="11"/>
      <w:bookmarkEnd w:id="12"/>
      <w:bookmarkEnd w:id="18"/>
    </w:p>
    <w:sectPr w:rsidR="006202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77887F"/>
    <w:multiLevelType w:val="singleLevel"/>
    <w:tmpl w:val="B477887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065"/>
    <w:rsid w:val="0000112A"/>
    <w:rsid w:val="00002327"/>
    <w:rsid w:val="00002418"/>
    <w:rsid w:val="00004E88"/>
    <w:rsid w:val="00005B14"/>
    <w:rsid w:val="00010179"/>
    <w:rsid w:val="000122D0"/>
    <w:rsid w:val="00015039"/>
    <w:rsid w:val="00015132"/>
    <w:rsid w:val="00021434"/>
    <w:rsid w:val="00021AAE"/>
    <w:rsid w:val="00022E51"/>
    <w:rsid w:val="0002404A"/>
    <w:rsid w:val="000255C7"/>
    <w:rsid w:val="00026E46"/>
    <w:rsid w:val="000305EC"/>
    <w:rsid w:val="0003439E"/>
    <w:rsid w:val="000362AF"/>
    <w:rsid w:val="00036AFC"/>
    <w:rsid w:val="00037D3C"/>
    <w:rsid w:val="00042798"/>
    <w:rsid w:val="00043AF2"/>
    <w:rsid w:val="00044F8D"/>
    <w:rsid w:val="00046EC1"/>
    <w:rsid w:val="00052ACC"/>
    <w:rsid w:val="00053670"/>
    <w:rsid w:val="00054B9E"/>
    <w:rsid w:val="0005556D"/>
    <w:rsid w:val="0005679C"/>
    <w:rsid w:val="000600A4"/>
    <w:rsid w:val="000630EA"/>
    <w:rsid w:val="000632D5"/>
    <w:rsid w:val="0006445C"/>
    <w:rsid w:val="00064C14"/>
    <w:rsid w:val="00067072"/>
    <w:rsid w:val="000707AD"/>
    <w:rsid w:val="00074FB6"/>
    <w:rsid w:val="000771C3"/>
    <w:rsid w:val="00082E56"/>
    <w:rsid w:val="00085425"/>
    <w:rsid w:val="0008690F"/>
    <w:rsid w:val="0008799A"/>
    <w:rsid w:val="0009076A"/>
    <w:rsid w:val="00091DB0"/>
    <w:rsid w:val="000929D3"/>
    <w:rsid w:val="00093841"/>
    <w:rsid w:val="00095F39"/>
    <w:rsid w:val="00096412"/>
    <w:rsid w:val="00096975"/>
    <w:rsid w:val="00097080"/>
    <w:rsid w:val="00097C29"/>
    <w:rsid w:val="000A0C3E"/>
    <w:rsid w:val="000A2896"/>
    <w:rsid w:val="000A5D0C"/>
    <w:rsid w:val="000A6607"/>
    <w:rsid w:val="000A6F26"/>
    <w:rsid w:val="000B1F48"/>
    <w:rsid w:val="000B2560"/>
    <w:rsid w:val="000B25CE"/>
    <w:rsid w:val="000B512D"/>
    <w:rsid w:val="000B6824"/>
    <w:rsid w:val="000C0612"/>
    <w:rsid w:val="000C1944"/>
    <w:rsid w:val="000C3A22"/>
    <w:rsid w:val="000C46C1"/>
    <w:rsid w:val="000C4C4D"/>
    <w:rsid w:val="000C5487"/>
    <w:rsid w:val="000C600C"/>
    <w:rsid w:val="000C6104"/>
    <w:rsid w:val="000C6CD2"/>
    <w:rsid w:val="000D1051"/>
    <w:rsid w:val="000D2FFB"/>
    <w:rsid w:val="000D5861"/>
    <w:rsid w:val="000D598F"/>
    <w:rsid w:val="000E4EF8"/>
    <w:rsid w:val="000E6592"/>
    <w:rsid w:val="000E65C2"/>
    <w:rsid w:val="000E7075"/>
    <w:rsid w:val="000F139A"/>
    <w:rsid w:val="000F22A0"/>
    <w:rsid w:val="000F2DCC"/>
    <w:rsid w:val="000F4FB7"/>
    <w:rsid w:val="000F504F"/>
    <w:rsid w:val="000F58D7"/>
    <w:rsid w:val="000F69B9"/>
    <w:rsid w:val="000F7322"/>
    <w:rsid w:val="000F785C"/>
    <w:rsid w:val="00102955"/>
    <w:rsid w:val="001030E2"/>
    <w:rsid w:val="00103ADE"/>
    <w:rsid w:val="001042A2"/>
    <w:rsid w:val="001053A6"/>
    <w:rsid w:val="001140B1"/>
    <w:rsid w:val="001164E7"/>
    <w:rsid w:val="001175A0"/>
    <w:rsid w:val="0011771D"/>
    <w:rsid w:val="00117825"/>
    <w:rsid w:val="00120A51"/>
    <w:rsid w:val="00120E8A"/>
    <w:rsid w:val="00122AC1"/>
    <w:rsid w:val="0012343B"/>
    <w:rsid w:val="00123A6A"/>
    <w:rsid w:val="00127950"/>
    <w:rsid w:val="0013220A"/>
    <w:rsid w:val="001366F7"/>
    <w:rsid w:val="001369F6"/>
    <w:rsid w:val="001401D1"/>
    <w:rsid w:val="00140AE4"/>
    <w:rsid w:val="0014136C"/>
    <w:rsid w:val="0014315C"/>
    <w:rsid w:val="001455B4"/>
    <w:rsid w:val="00152B82"/>
    <w:rsid w:val="00152E17"/>
    <w:rsid w:val="00153DFD"/>
    <w:rsid w:val="00160DBF"/>
    <w:rsid w:val="00163958"/>
    <w:rsid w:val="00163E3A"/>
    <w:rsid w:val="00164504"/>
    <w:rsid w:val="001645E4"/>
    <w:rsid w:val="00164C6C"/>
    <w:rsid w:val="00166EF0"/>
    <w:rsid w:val="00170CD6"/>
    <w:rsid w:val="0017178D"/>
    <w:rsid w:val="00173A38"/>
    <w:rsid w:val="00174725"/>
    <w:rsid w:val="00174EE5"/>
    <w:rsid w:val="00176496"/>
    <w:rsid w:val="001767AB"/>
    <w:rsid w:val="00177052"/>
    <w:rsid w:val="00191614"/>
    <w:rsid w:val="0019297F"/>
    <w:rsid w:val="00194A42"/>
    <w:rsid w:val="001964C6"/>
    <w:rsid w:val="001A040E"/>
    <w:rsid w:val="001A0E87"/>
    <w:rsid w:val="001A27EA"/>
    <w:rsid w:val="001A3D76"/>
    <w:rsid w:val="001A585E"/>
    <w:rsid w:val="001A74B5"/>
    <w:rsid w:val="001B0350"/>
    <w:rsid w:val="001B1525"/>
    <w:rsid w:val="001C3113"/>
    <w:rsid w:val="001C34AE"/>
    <w:rsid w:val="001C53EA"/>
    <w:rsid w:val="001C7798"/>
    <w:rsid w:val="001D3C8B"/>
    <w:rsid w:val="001D3FCD"/>
    <w:rsid w:val="001D4C5A"/>
    <w:rsid w:val="001D59E7"/>
    <w:rsid w:val="001D7DDA"/>
    <w:rsid w:val="001E130B"/>
    <w:rsid w:val="001E2099"/>
    <w:rsid w:val="001E27E0"/>
    <w:rsid w:val="001F080B"/>
    <w:rsid w:val="001F42FD"/>
    <w:rsid w:val="001F532D"/>
    <w:rsid w:val="001F73F8"/>
    <w:rsid w:val="001F7E2A"/>
    <w:rsid w:val="00206259"/>
    <w:rsid w:val="00211192"/>
    <w:rsid w:val="00215B4B"/>
    <w:rsid w:val="00215C0C"/>
    <w:rsid w:val="00220F13"/>
    <w:rsid w:val="0022207A"/>
    <w:rsid w:val="00222600"/>
    <w:rsid w:val="00222B41"/>
    <w:rsid w:val="00223334"/>
    <w:rsid w:val="002239D1"/>
    <w:rsid w:val="002239E2"/>
    <w:rsid w:val="002260BF"/>
    <w:rsid w:val="002277AA"/>
    <w:rsid w:val="00227B9F"/>
    <w:rsid w:val="00230E2F"/>
    <w:rsid w:val="002337F7"/>
    <w:rsid w:val="00234FE9"/>
    <w:rsid w:val="00237093"/>
    <w:rsid w:val="0024089A"/>
    <w:rsid w:val="00241E81"/>
    <w:rsid w:val="00242177"/>
    <w:rsid w:val="0024761D"/>
    <w:rsid w:val="0025031E"/>
    <w:rsid w:val="002509D8"/>
    <w:rsid w:val="00255D8E"/>
    <w:rsid w:val="00261495"/>
    <w:rsid w:val="002617C9"/>
    <w:rsid w:val="002628A3"/>
    <w:rsid w:val="00263CF8"/>
    <w:rsid w:val="00266010"/>
    <w:rsid w:val="002662CE"/>
    <w:rsid w:val="00272F96"/>
    <w:rsid w:val="002749B2"/>
    <w:rsid w:val="002753E9"/>
    <w:rsid w:val="002804CA"/>
    <w:rsid w:val="00282B5B"/>
    <w:rsid w:val="002863A3"/>
    <w:rsid w:val="00286A1A"/>
    <w:rsid w:val="002901AB"/>
    <w:rsid w:val="00291D82"/>
    <w:rsid w:val="002924F9"/>
    <w:rsid w:val="00292CA3"/>
    <w:rsid w:val="0029575D"/>
    <w:rsid w:val="00297FA6"/>
    <w:rsid w:val="002A03BF"/>
    <w:rsid w:val="002A40A7"/>
    <w:rsid w:val="002A4280"/>
    <w:rsid w:val="002A431F"/>
    <w:rsid w:val="002A5D5E"/>
    <w:rsid w:val="002A5DBB"/>
    <w:rsid w:val="002A7E58"/>
    <w:rsid w:val="002B01C6"/>
    <w:rsid w:val="002B1AEC"/>
    <w:rsid w:val="002B2184"/>
    <w:rsid w:val="002B3F53"/>
    <w:rsid w:val="002B4341"/>
    <w:rsid w:val="002B5408"/>
    <w:rsid w:val="002B6229"/>
    <w:rsid w:val="002B7B3E"/>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72"/>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7C7F"/>
    <w:rsid w:val="00320CAE"/>
    <w:rsid w:val="00321FAB"/>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6799F"/>
    <w:rsid w:val="0037065F"/>
    <w:rsid w:val="0037266D"/>
    <w:rsid w:val="0037289E"/>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310"/>
    <w:rsid w:val="003A420A"/>
    <w:rsid w:val="003A480E"/>
    <w:rsid w:val="003A519F"/>
    <w:rsid w:val="003A6AAF"/>
    <w:rsid w:val="003B1113"/>
    <w:rsid w:val="003B1C09"/>
    <w:rsid w:val="003B3197"/>
    <w:rsid w:val="003B5BAE"/>
    <w:rsid w:val="003C193E"/>
    <w:rsid w:val="003C428C"/>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22A6"/>
    <w:rsid w:val="003F7954"/>
    <w:rsid w:val="00402656"/>
    <w:rsid w:val="00405EF9"/>
    <w:rsid w:val="00406247"/>
    <w:rsid w:val="00407685"/>
    <w:rsid w:val="00407B1E"/>
    <w:rsid w:val="0041043C"/>
    <w:rsid w:val="00416785"/>
    <w:rsid w:val="0041746D"/>
    <w:rsid w:val="00417601"/>
    <w:rsid w:val="00417A84"/>
    <w:rsid w:val="00422186"/>
    <w:rsid w:val="0042521E"/>
    <w:rsid w:val="0042651B"/>
    <w:rsid w:val="004301DE"/>
    <w:rsid w:val="0043065A"/>
    <w:rsid w:val="004315F0"/>
    <w:rsid w:val="004318CA"/>
    <w:rsid w:val="00431B46"/>
    <w:rsid w:val="00431D3C"/>
    <w:rsid w:val="004360DF"/>
    <w:rsid w:val="00436FE4"/>
    <w:rsid w:val="0044070C"/>
    <w:rsid w:val="004408D1"/>
    <w:rsid w:val="00441832"/>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90561"/>
    <w:rsid w:val="00492181"/>
    <w:rsid w:val="00492CAD"/>
    <w:rsid w:val="004945B1"/>
    <w:rsid w:val="00494A92"/>
    <w:rsid w:val="00495944"/>
    <w:rsid w:val="00495A57"/>
    <w:rsid w:val="004975CC"/>
    <w:rsid w:val="004A15E7"/>
    <w:rsid w:val="004A5C0E"/>
    <w:rsid w:val="004A6BE0"/>
    <w:rsid w:val="004B05AC"/>
    <w:rsid w:val="004B27B7"/>
    <w:rsid w:val="004B37BB"/>
    <w:rsid w:val="004B5D99"/>
    <w:rsid w:val="004B6616"/>
    <w:rsid w:val="004C047C"/>
    <w:rsid w:val="004C1572"/>
    <w:rsid w:val="004C32AB"/>
    <w:rsid w:val="004C35CF"/>
    <w:rsid w:val="004D4385"/>
    <w:rsid w:val="004D578F"/>
    <w:rsid w:val="004D58FF"/>
    <w:rsid w:val="004D59E5"/>
    <w:rsid w:val="004D67E5"/>
    <w:rsid w:val="004D76CF"/>
    <w:rsid w:val="004E0E27"/>
    <w:rsid w:val="004E26D6"/>
    <w:rsid w:val="004E5051"/>
    <w:rsid w:val="004E5664"/>
    <w:rsid w:val="004E6534"/>
    <w:rsid w:val="004E7C87"/>
    <w:rsid w:val="004F004C"/>
    <w:rsid w:val="004F09C8"/>
    <w:rsid w:val="004F47F5"/>
    <w:rsid w:val="004F488A"/>
    <w:rsid w:val="004F7230"/>
    <w:rsid w:val="00500B0A"/>
    <w:rsid w:val="0050203F"/>
    <w:rsid w:val="00503202"/>
    <w:rsid w:val="00504167"/>
    <w:rsid w:val="0050481A"/>
    <w:rsid w:val="00510456"/>
    <w:rsid w:val="00512C6E"/>
    <w:rsid w:val="00514A5F"/>
    <w:rsid w:val="0051511D"/>
    <w:rsid w:val="0051721B"/>
    <w:rsid w:val="00520474"/>
    <w:rsid w:val="00521717"/>
    <w:rsid w:val="00521F57"/>
    <w:rsid w:val="005245D8"/>
    <w:rsid w:val="00527981"/>
    <w:rsid w:val="00531476"/>
    <w:rsid w:val="00532BE2"/>
    <w:rsid w:val="0053313A"/>
    <w:rsid w:val="00533E6F"/>
    <w:rsid w:val="00536865"/>
    <w:rsid w:val="00541AC2"/>
    <w:rsid w:val="005422C0"/>
    <w:rsid w:val="0054377D"/>
    <w:rsid w:val="005439BB"/>
    <w:rsid w:val="00545DF3"/>
    <w:rsid w:val="00546AA2"/>
    <w:rsid w:val="00547EED"/>
    <w:rsid w:val="0055515C"/>
    <w:rsid w:val="00555635"/>
    <w:rsid w:val="00557DF7"/>
    <w:rsid w:val="00560112"/>
    <w:rsid w:val="0056072D"/>
    <w:rsid w:val="00561353"/>
    <w:rsid w:val="005631E5"/>
    <w:rsid w:val="00565402"/>
    <w:rsid w:val="00572794"/>
    <w:rsid w:val="00577671"/>
    <w:rsid w:val="005776B3"/>
    <w:rsid w:val="00577B25"/>
    <w:rsid w:val="00577FA3"/>
    <w:rsid w:val="005800AE"/>
    <w:rsid w:val="005818F2"/>
    <w:rsid w:val="005838C5"/>
    <w:rsid w:val="0058467B"/>
    <w:rsid w:val="005847B4"/>
    <w:rsid w:val="0058781C"/>
    <w:rsid w:val="00587B31"/>
    <w:rsid w:val="00591A9A"/>
    <w:rsid w:val="00591AFC"/>
    <w:rsid w:val="00593F23"/>
    <w:rsid w:val="005942C9"/>
    <w:rsid w:val="00594C6B"/>
    <w:rsid w:val="00595FF1"/>
    <w:rsid w:val="0059699B"/>
    <w:rsid w:val="00596B55"/>
    <w:rsid w:val="005A1EF0"/>
    <w:rsid w:val="005A50F5"/>
    <w:rsid w:val="005A6441"/>
    <w:rsid w:val="005A6487"/>
    <w:rsid w:val="005A65FF"/>
    <w:rsid w:val="005B0A1B"/>
    <w:rsid w:val="005B0FF6"/>
    <w:rsid w:val="005B1806"/>
    <w:rsid w:val="005B262F"/>
    <w:rsid w:val="005B41A1"/>
    <w:rsid w:val="005B4921"/>
    <w:rsid w:val="005B4E40"/>
    <w:rsid w:val="005B55FD"/>
    <w:rsid w:val="005B7EB5"/>
    <w:rsid w:val="005C07D3"/>
    <w:rsid w:val="005C1775"/>
    <w:rsid w:val="005C25C8"/>
    <w:rsid w:val="005C39A8"/>
    <w:rsid w:val="005C5C1D"/>
    <w:rsid w:val="005C6038"/>
    <w:rsid w:val="005C611C"/>
    <w:rsid w:val="005C62AA"/>
    <w:rsid w:val="005C7591"/>
    <w:rsid w:val="005C7BD4"/>
    <w:rsid w:val="005D000F"/>
    <w:rsid w:val="005D0FDD"/>
    <w:rsid w:val="005D13C0"/>
    <w:rsid w:val="005D7153"/>
    <w:rsid w:val="005E4CFC"/>
    <w:rsid w:val="005E567C"/>
    <w:rsid w:val="005E5A35"/>
    <w:rsid w:val="005F347D"/>
    <w:rsid w:val="005F5FD1"/>
    <w:rsid w:val="005F6497"/>
    <w:rsid w:val="005F6A35"/>
    <w:rsid w:val="005F7C0D"/>
    <w:rsid w:val="00600C3B"/>
    <w:rsid w:val="00602482"/>
    <w:rsid w:val="00604BE0"/>
    <w:rsid w:val="00604ED7"/>
    <w:rsid w:val="00605C52"/>
    <w:rsid w:val="006069F4"/>
    <w:rsid w:val="0061179E"/>
    <w:rsid w:val="00611BF1"/>
    <w:rsid w:val="00614920"/>
    <w:rsid w:val="0061579B"/>
    <w:rsid w:val="00615F56"/>
    <w:rsid w:val="00617E3E"/>
    <w:rsid w:val="006202DE"/>
    <w:rsid w:val="0062089C"/>
    <w:rsid w:val="006209D1"/>
    <w:rsid w:val="00620E03"/>
    <w:rsid w:val="00621317"/>
    <w:rsid w:val="006230D7"/>
    <w:rsid w:val="00623636"/>
    <w:rsid w:val="00625539"/>
    <w:rsid w:val="006302C5"/>
    <w:rsid w:val="00631E9B"/>
    <w:rsid w:val="00632335"/>
    <w:rsid w:val="006336DA"/>
    <w:rsid w:val="00633ED2"/>
    <w:rsid w:val="00634D66"/>
    <w:rsid w:val="00635689"/>
    <w:rsid w:val="006361FB"/>
    <w:rsid w:val="00637A16"/>
    <w:rsid w:val="006401AA"/>
    <w:rsid w:val="0064168E"/>
    <w:rsid w:val="006424C6"/>
    <w:rsid w:val="00642581"/>
    <w:rsid w:val="00646900"/>
    <w:rsid w:val="0065067B"/>
    <w:rsid w:val="006527BC"/>
    <w:rsid w:val="006535CC"/>
    <w:rsid w:val="006537A2"/>
    <w:rsid w:val="00653D64"/>
    <w:rsid w:val="0065408D"/>
    <w:rsid w:val="006555CE"/>
    <w:rsid w:val="0065614D"/>
    <w:rsid w:val="006570C0"/>
    <w:rsid w:val="00657778"/>
    <w:rsid w:val="006608EA"/>
    <w:rsid w:val="00661B5D"/>
    <w:rsid w:val="00664290"/>
    <w:rsid w:val="006651B0"/>
    <w:rsid w:val="006652A5"/>
    <w:rsid w:val="0067195A"/>
    <w:rsid w:val="0067386F"/>
    <w:rsid w:val="00673B49"/>
    <w:rsid w:val="00675B3E"/>
    <w:rsid w:val="00675E96"/>
    <w:rsid w:val="00676E47"/>
    <w:rsid w:val="0067706A"/>
    <w:rsid w:val="00680759"/>
    <w:rsid w:val="00680783"/>
    <w:rsid w:val="00681096"/>
    <w:rsid w:val="00682298"/>
    <w:rsid w:val="0068392E"/>
    <w:rsid w:val="0068550A"/>
    <w:rsid w:val="0068710D"/>
    <w:rsid w:val="00693F26"/>
    <w:rsid w:val="006942DE"/>
    <w:rsid w:val="00695773"/>
    <w:rsid w:val="006959F4"/>
    <w:rsid w:val="00695F4B"/>
    <w:rsid w:val="006A2144"/>
    <w:rsid w:val="006A5005"/>
    <w:rsid w:val="006A770B"/>
    <w:rsid w:val="006A78AB"/>
    <w:rsid w:val="006B11B9"/>
    <w:rsid w:val="006B2BFD"/>
    <w:rsid w:val="006B3E7B"/>
    <w:rsid w:val="006B44DE"/>
    <w:rsid w:val="006B558E"/>
    <w:rsid w:val="006B65F0"/>
    <w:rsid w:val="006B68A9"/>
    <w:rsid w:val="006C5BED"/>
    <w:rsid w:val="006C63FA"/>
    <w:rsid w:val="006C7792"/>
    <w:rsid w:val="006C7C94"/>
    <w:rsid w:val="006D02E7"/>
    <w:rsid w:val="006D146F"/>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06CC0"/>
    <w:rsid w:val="00711028"/>
    <w:rsid w:val="00713CDF"/>
    <w:rsid w:val="0071444C"/>
    <w:rsid w:val="007153CF"/>
    <w:rsid w:val="0071629F"/>
    <w:rsid w:val="00716683"/>
    <w:rsid w:val="00720231"/>
    <w:rsid w:val="00720CE7"/>
    <w:rsid w:val="0072125E"/>
    <w:rsid w:val="00721DCF"/>
    <w:rsid w:val="0072286D"/>
    <w:rsid w:val="00722F74"/>
    <w:rsid w:val="00724E82"/>
    <w:rsid w:val="0072584B"/>
    <w:rsid w:val="00727CFC"/>
    <w:rsid w:val="00730741"/>
    <w:rsid w:val="00731300"/>
    <w:rsid w:val="00734A39"/>
    <w:rsid w:val="0073676B"/>
    <w:rsid w:val="00736B1C"/>
    <w:rsid w:val="00737944"/>
    <w:rsid w:val="00737D9D"/>
    <w:rsid w:val="007453DB"/>
    <w:rsid w:val="00745D0B"/>
    <w:rsid w:val="00746683"/>
    <w:rsid w:val="0075667A"/>
    <w:rsid w:val="007571BD"/>
    <w:rsid w:val="00760590"/>
    <w:rsid w:val="00762B16"/>
    <w:rsid w:val="00764DDF"/>
    <w:rsid w:val="00765D18"/>
    <w:rsid w:val="00766275"/>
    <w:rsid w:val="00766EC1"/>
    <w:rsid w:val="00770305"/>
    <w:rsid w:val="0077075F"/>
    <w:rsid w:val="00782A64"/>
    <w:rsid w:val="0078436A"/>
    <w:rsid w:val="0078446D"/>
    <w:rsid w:val="007859FB"/>
    <w:rsid w:val="00786908"/>
    <w:rsid w:val="0078717C"/>
    <w:rsid w:val="007907A9"/>
    <w:rsid w:val="007918C5"/>
    <w:rsid w:val="00792482"/>
    <w:rsid w:val="007934C2"/>
    <w:rsid w:val="00795081"/>
    <w:rsid w:val="00796AB0"/>
    <w:rsid w:val="007A040B"/>
    <w:rsid w:val="007A29B5"/>
    <w:rsid w:val="007A29D7"/>
    <w:rsid w:val="007A4006"/>
    <w:rsid w:val="007A41C8"/>
    <w:rsid w:val="007A4924"/>
    <w:rsid w:val="007A508F"/>
    <w:rsid w:val="007A64E8"/>
    <w:rsid w:val="007A6D32"/>
    <w:rsid w:val="007A7E5E"/>
    <w:rsid w:val="007A7FCE"/>
    <w:rsid w:val="007B1EAD"/>
    <w:rsid w:val="007B2A3D"/>
    <w:rsid w:val="007B2C1F"/>
    <w:rsid w:val="007B355C"/>
    <w:rsid w:val="007B38D0"/>
    <w:rsid w:val="007B4875"/>
    <w:rsid w:val="007B5970"/>
    <w:rsid w:val="007B59A2"/>
    <w:rsid w:val="007C03F8"/>
    <w:rsid w:val="007C24BE"/>
    <w:rsid w:val="007C3DE6"/>
    <w:rsid w:val="007C4CDF"/>
    <w:rsid w:val="007C4DC2"/>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0C57"/>
    <w:rsid w:val="007F12AD"/>
    <w:rsid w:val="007F19DB"/>
    <w:rsid w:val="007F2E8A"/>
    <w:rsid w:val="007F457F"/>
    <w:rsid w:val="007F4FDC"/>
    <w:rsid w:val="007F5009"/>
    <w:rsid w:val="007F56C2"/>
    <w:rsid w:val="007F5D5F"/>
    <w:rsid w:val="00802B15"/>
    <w:rsid w:val="00803CD0"/>
    <w:rsid w:val="00804E53"/>
    <w:rsid w:val="008073A4"/>
    <w:rsid w:val="00807AAA"/>
    <w:rsid w:val="00807D66"/>
    <w:rsid w:val="00810BD2"/>
    <w:rsid w:val="008113D6"/>
    <w:rsid w:val="00811502"/>
    <w:rsid w:val="00813870"/>
    <w:rsid w:val="00814A7A"/>
    <w:rsid w:val="00815139"/>
    <w:rsid w:val="00815DAB"/>
    <w:rsid w:val="00820041"/>
    <w:rsid w:val="00820855"/>
    <w:rsid w:val="0082282A"/>
    <w:rsid w:val="0082555C"/>
    <w:rsid w:val="00825ED8"/>
    <w:rsid w:val="008339CE"/>
    <w:rsid w:val="008350F4"/>
    <w:rsid w:val="00841902"/>
    <w:rsid w:val="008423C1"/>
    <w:rsid w:val="00842486"/>
    <w:rsid w:val="00843ABA"/>
    <w:rsid w:val="0084566C"/>
    <w:rsid w:val="008463DA"/>
    <w:rsid w:val="00846BA7"/>
    <w:rsid w:val="0084703B"/>
    <w:rsid w:val="0084712E"/>
    <w:rsid w:val="0085082A"/>
    <w:rsid w:val="00850A68"/>
    <w:rsid w:val="00853AB1"/>
    <w:rsid w:val="0085425D"/>
    <w:rsid w:val="008551DD"/>
    <w:rsid w:val="0085621D"/>
    <w:rsid w:val="00860235"/>
    <w:rsid w:val="00863503"/>
    <w:rsid w:val="008651FA"/>
    <w:rsid w:val="0086626F"/>
    <w:rsid w:val="008663D3"/>
    <w:rsid w:val="008722CE"/>
    <w:rsid w:val="0087264B"/>
    <w:rsid w:val="00874A7F"/>
    <w:rsid w:val="00876465"/>
    <w:rsid w:val="0088060E"/>
    <w:rsid w:val="00880BCB"/>
    <w:rsid w:val="00880D19"/>
    <w:rsid w:val="00882746"/>
    <w:rsid w:val="00885657"/>
    <w:rsid w:val="008906B0"/>
    <w:rsid w:val="00890B20"/>
    <w:rsid w:val="00892E93"/>
    <w:rsid w:val="00893F1F"/>
    <w:rsid w:val="00894582"/>
    <w:rsid w:val="008945C3"/>
    <w:rsid w:val="00895F0E"/>
    <w:rsid w:val="0089673D"/>
    <w:rsid w:val="00896877"/>
    <w:rsid w:val="00897EB1"/>
    <w:rsid w:val="008A2C68"/>
    <w:rsid w:val="008B3812"/>
    <w:rsid w:val="008B3AB6"/>
    <w:rsid w:val="008B4D33"/>
    <w:rsid w:val="008B5145"/>
    <w:rsid w:val="008B550C"/>
    <w:rsid w:val="008B7BC8"/>
    <w:rsid w:val="008C0431"/>
    <w:rsid w:val="008C12B2"/>
    <w:rsid w:val="008C3882"/>
    <w:rsid w:val="008C67BD"/>
    <w:rsid w:val="008D1239"/>
    <w:rsid w:val="008E2622"/>
    <w:rsid w:val="008E2C5C"/>
    <w:rsid w:val="008E4FCB"/>
    <w:rsid w:val="008F0532"/>
    <w:rsid w:val="008F066C"/>
    <w:rsid w:val="008F0F74"/>
    <w:rsid w:val="008F1507"/>
    <w:rsid w:val="008F198B"/>
    <w:rsid w:val="008F52BA"/>
    <w:rsid w:val="008F7FF4"/>
    <w:rsid w:val="00903327"/>
    <w:rsid w:val="00904B2D"/>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9E0"/>
    <w:rsid w:val="0094282A"/>
    <w:rsid w:val="00951A21"/>
    <w:rsid w:val="0095345D"/>
    <w:rsid w:val="00954629"/>
    <w:rsid w:val="00954CFA"/>
    <w:rsid w:val="009562E2"/>
    <w:rsid w:val="00956DE4"/>
    <w:rsid w:val="009668B8"/>
    <w:rsid w:val="009679E4"/>
    <w:rsid w:val="009706AB"/>
    <w:rsid w:val="00971E51"/>
    <w:rsid w:val="0097384E"/>
    <w:rsid w:val="009738C4"/>
    <w:rsid w:val="00974791"/>
    <w:rsid w:val="00974B8B"/>
    <w:rsid w:val="00975429"/>
    <w:rsid w:val="00976332"/>
    <w:rsid w:val="00976F12"/>
    <w:rsid w:val="00977D7C"/>
    <w:rsid w:val="009817F8"/>
    <w:rsid w:val="0098249E"/>
    <w:rsid w:val="00985A1E"/>
    <w:rsid w:val="00985A93"/>
    <w:rsid w:val="0098772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811"/>
    <w:rsid w:val="009B4A2C"/>
    <w:rsid w:val="009B6D4D"/>
    <w:rsid w:val="009B73D9"/>
    <w:rsid w:val="009C54AE"/>
    <w:rsid w:val="009C6106"/>
    <w:rsid w:val="009C721A"/>
    <w:rsid w:val="009C7FA7"/>
    <w:rsid w:val="009D143E"/>
    <w:rsid w:val="009D211C"/>
    <w:rsid w:val="009D2A8B"/>
    <w:rsid w:val="009D3862"/>
    <w:rsid w:val="009D3883"/>
    <w:rsid w:val="009D56B7"/>
    <w:rsid w:val="009D5E95"/>
    <w:rsid w:val="009D6DB8"/>
    <w:rsid w:val="009D7A28"/>
    <w:rsid w:val="009E2523"/>
    <w:rsid w:val="009E4666"/>
    <w:rsid w:val="009E4B8F"/>
    <w:rsid w:val="009E4CB9"/>
    <w:rsid w:val="009E640E"/>
    <w:rsid w:val="009F0869"/>
    <w:rsid w:val="009F1B51"/>
    <w:rsid w:val="009F1D1C"/>
    <w:rsid w:val="009F3086"/>
    <w:rsid w:val="009F362F"/>
    <w:rsid w:val="009F373D"/>
    <w:rsid w:val="009F5040"/>
    <w:rsid w:val="009F644C"/>
    <w:rsid w:val="009F6ED3"/>
    <w:rsid w:val="00A03212"/>
    <w:rsid w:val="00A03839"/>
    <w:rsid w:val="00A04388"/>
    <w:rsid w:val="00A04D82"/>
    <w:rsid w:val="00A0581E"/>
    <w:rsid w:val="00A06500"/>
    <w:rsid w:val="00A100D4"/>
    <w:rsid w:val="00A10285"/>
    <w:rsid w:val="00A10F61"/>
    <w:rsid w:val="00A12275"/>
    <w:rsid w:val="00A12AD7"/>
    <w:rsid w:val="00A16A44"/>
    <w:rsid w:val="00A1705B"/>
    <w:rsid w:val="00A179F3"/>
    <w:rsid w:val="00A21305"/>
    <w:rsid w:val="00A219FB"/>
    <w:rsid w:val="00A245DD"/>
    <w:rsid w:val="00A25A90"/>
    <w:rsid w:val="00A25CDE"/>
    <w:rsid w:val="00A3094F"/>
    <w:rsid w:val="00A32A62"/>
    <w:rsid w:val="00A32D0C"/>
    <w:rsid w:val="00A350E9"/>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C85"/>
    <w:rsid w:val="00A70F38"/>
    <w:rsid w:val="00A7397C"/>
    <w:rsid w:val="00A74140"/>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126D"/>
    <w:rsid w:val="00AB50D9"/>
    <w:rsid w:val="00AB531C"/>
    <w:rsid w:val="00AB537C"/>
    <w:rsid w:val="00AB64AA"/>
    <w:rsid w:val="00AC0699"/>
    <w:rsid w:val="00AC259E"/>
    <w:rsid w:val="00AC2FF5"/>
    <w:rsid w:val="00AC30B8"/>
    <w:rsid w:val="00AC4D4E"/>
    <w:rsid w:val="00AC6CF4"/>
    <w:rsid w:val="00AC7005"/>
    <w:rsid w:val="00AC79C6"/>
    <w:rsid w:val="00AD13D8"/>
    <w:rsid w:val="00AD16C8"/>
    <w:rsid w:val="00AD3CA7"/>
    <w:rsid w:val="00AD4472"/>
    <w:rsid w:val="00AD460D"/>
    <w:rsid w:val="00AD679C"/>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694F"/>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C59"/>
    <w:rsid w:val="00B32D35"/>
    <w:rsid w:val="00B33E8A"/>
    <w:rsid w:val="00B408D6"/>
    <w:rsid w:val="00B427F7"/>
    <w:rsid w:val="00B45B55"/>
    <w:rsid w:val="00B501EC"/>
    <w:rsid w:val="00B50C54"/>
    <w:rsid w:val="00B510CB"/>
    <w:rsid w:val="00B5120C"/>
    <w:rsid w:val="00B5293E"/>
    <w:rsid w:val="00B53626"/>
    <w:rsid w:val="00B55D27"/>
    <w:rsid w:val="00B56073"/>
    <w:rsid w:val="00B5647A"/>
    <w:rsid w:val="00B5663F"/>
    <w:rsid w:val="00B619A3"/>
    <w:rsid w:val="00B621C9"/>
    <w:rsid w:val="00B6421D"/>
    <w:rsid w:val="00B64B70"/>
    <w:rsid w:val="00B65217"/>
    <w:rsid w:val="00B65229"/>
    <w:rsid w:val="00B66140"/>
    <w:rsid w:val="00B67956"/>
    <w:rsid w:val="00B705F9"/>
    <w:rsid w:val="00B7364A"/>
    <w:rsid w:val="00B75E7C"/>
    <w:rsid w:val="00B83757"/>
    <w:rsid w:val="00B83DE8"/>
    <w:rsid w:val="00B86B2D"/>
    <w:rsid w:val="00B87415"/>
    <w:rsid w:val="00B901D2"/>
    <w:rsid w:val="00B929BC"/>
    <w:rsid w:val="00B94943"/>
    <w:rsid w:val="00B94B68"/>
    <w:rsid w:val="00B95E2F"/>
    <w:rsid w:val="00B978BD"/>
    <w:rsid w:val="00B979BA"/>
    <w:rsid w:val="00BA00FF"/>
    <w:rsid w:val="00BA0E38"/>
    <w:rsid w:val="00BA5F85"/>
    <w:rsid w:val="00BA75F8"/>
    <w:rsid w:val="00BA767D"/>
    <w:rsid w:val="00BB115B"/>
    <w:rsid w:val="00BB46B7"/>
    <w:rsid w:val="00BB76F9"/>
    <w:rsid w:val="00BB7FD3"/>
    <w:rsid w:val="00BC06D9"/>
    <w:rsid w:val="00BC48C0"/>
    <w:rsid w:val="00BC5A14"/>
    <w:rsid w:val="00BC6481"/>
    <w:rsid w:val="00BC6B10"/>
    <w:rsid w:val="00BC6B5A"/>
    <w:rsid w:val="00BC7825"/>
    <w:rsid w:val="00BC7D68"/>
    <w:rsid w:val="00BD03EA"/>
    <w:rsid w:val="00BD04B6"/>
    <w:rsid w:val="00BD2FBB"/>
    <w:rsid w:val="00BD323C"/>
    <w:rsid w:val="00BD4C26"/>
    <w:rsid w:val="00BD50EF"/>
    <w:rsid w:val="00BD5771"/>
    <w:rsid w:val="00BD7A06"/>
    <w:rsid w:val="00BE2852"/>
    <w:rsid w:val="00BE2A83"/>
    <w:rsid w:val="00BE4BC8"/>
    <w:rsid w:val="00BE4D81"/>
    <w:rsid w:val="00BE57AE"/>
    <w:rsid w:val="00BE5C58"/>
    <w:rsid w:val="00BF08A2"/>
    <w:rsid w:val="00BF0BA7"/>
    <w:rsid w:val="00BF1437"/>
    <w:rsid w:val="00BF1A30"/>
    <w:rsid w:val="00BF25D3"/>
    <w:rsid w:val="00BF476B"/>
    <w:rsid w:val="00BF5647"/>
    <w:rsid w:val="00BF728A"/>
    <w:rsid w:val="00C00F13"/>
    <w:rsid w:val="00C018F6"/>
    <w:rsid w:val="00C025AB"/>
    <w:rsid w:val="00C04235"/>
    <w:rsid w:val="00C047DD"/>
    <w:rsid w:val="00C075FA"/>
    <w:rsid w:val="00C07772"/>
    <w:rsid w:val="00C152CA"/>
    <w:rsid w:val="00C17AA4"/>
    <w:rsid w:val="00C20B8F"/>
    <w:rsid w:val="00C20B9A"/>
    <w:rsid w:val="00C219D5"/>
    <w:rsid w:val="00C223FE"/>
    <w:rsid w:val="00C22C94"/>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2718"/>
    <w:rsid w:val="00C53B05"/>
    <w:rsid w:val="00C53B8B"/>
    <w:rsid w:val="00C53FC9"/>
    <w:rsid w:val="00C57723"/>
    <w:rsid w:val="00C5795F"/>
    <w:rsid w:val="00C619DC"/>
    <w:rsid w:val="00C64FB1"/>
    <w:rsid w:val="00C66B98"/>
    <w:rsid w:val="00C70FFE"/>
    <w:rsid w:val="00C7231A"/>
    <w:rsid w:val="00C734E4"/>
    <w:rsid w:val="00C74B5A"/>
    <w:rsid w:val="00C77383"/>
    <w:rsid w:val="00C81A12"/>
    <w:rsid w:val="00C827E1"/>
    <w:rsid w:val="00C85BFF"/>
    <w:rsid w:val="00C873A4"/>
    <w:rsid w:val="00C90EA9"/>
    <w:rsid w:val="00C922D1"/>
    <w:rsid w:val="00CA1224"/>
    <w:rsid w:val="00CA4781"/>
    <w:rsid w:val="00CA4D6C"/>
    <w:rsid w:val="00CB165F"/>
    <w:rsid w:val="00CB18A2"/>
    <w:rsid w:val="00CB3621"/>
    <w:rsid w:val="00CC1380"/>
    <w:rsid w:val="00CC47FF"/>
    <w:rsid w:val="00CC556C"/>
    <w:rsid w:val="00CC68A3"/>
    <w:rsid w:val="00CC7D91"/>
    <w:rsid w:val="00CD08DD"/>
    <w:rsid w:val="00CD1A96"/>
    <w:rsid w:val="00CD2824"/>
    <w:rsid w:val="00CD6203"/>
    <w:rsid w:val="00CD69FA"/>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07397"/>
    <w:rsid w:val="00D125AC"/>
    <w:rsid w:val="00D12F91"/>
    <w:rsid w:val="00D14AAA"/>
    <w:rsid w:val="00D155DC"/>
    <w:rsid w:val="00D15C7E"/>
    <w:rsid w:val="00D20D5C"/>
    <w:rsid w:val="00D21EDC"/>
    <w:rsid w:val="00D23502"/>
    <w:rsid w:val="00D237D5"/>
    <w:rsid w:val="00D242BD"/>
    <w:rsid w:val="00D2545E"/>
    <w:rsid w:val="00D25507"/>
    <w:rsid w:val="00D2714E"/>
    <w:rsid w:val="00D336EC"/>
    <w:rsid w:val="00D3373B"/>
    <w:rsid w:val="00D34AAF"/>
    <w:rsid w:val="00D35A1E"/>
    <w:rsid w:val="00D36E59"/>
    <w:rsid w:val="00D40367"/>
    <w:rsid w:val="00D40956"/>
    <w:rsid w:val="00D4369C"/>
    <w:rsid w:val="00D44FB4"/>
    <w:rsid w:val="00D46BED"/>
    <w:rsid w:val="00D46DD0"/>
    <w:rsid w:val="00D51D58"/>
    <w:rsid w:val="00D53D4E"/>
    <w:rsid w:val="00D55309"/>
    <w:rsid w:val="00D567D8"/>
    <w:rsid w:val="00D56A56"/>
    <w:rsid w:val="00D57CDF"/>
    <w:rsid w:val="00D601BE"/>
    <w:rsid w:val="00D624FA"/>
    <w:rsid w:val="00D638D8"/>
    <w:rsid w:val="00D648DD"/>
    <w:rsid w:val="00D66F15"/>
    <w:rsid w:val="00D71C76"/>
    <w:rsid w:val="00D7210F"/>
    <w:rsid w:val="00D72DDC"/>
    <w:rsid w:val="00D73733"/>
    <w:rsid w:val="00D761A3"/>
    <w:rsid w:val="00D765A3"/>
    <w:rsid w:val="00D8078E"/>
    <w:rsid w:val="00D8377A"/>
    <w:rsid w:val="00D83D65"/>
    <w:rsid w:val="00D85ED0"/>
    <w:rsid w:val="00D874D3"/>
    <w:rsid w:val="00D87815"/>
    <w:rsid w:val="00D91C1E"/>
    <w:rsid w:val="00D93BE8"/>
    <w:rsid w:val="00D93F81"/>
    <w:rsid w:val="00D94428"/>
    <w:rsid w:val="00D94683"/>
    <w:rsid w:val="00D94FF5"/>
    <w:rsid w:val="00D9558B"/>
    <w:rsid w:val="00D957E5"/>
    <w:rsid w:val="00D95832"/>
    <w:rsid w:val="00D965A7"/>
    <w:rsid w:val="00DA1DA5"/>
    <w:rsid w:val="00DA39F0"/>
    <w:rsid w:val="00DA4A8E"/>
    <w:rsid w:val="00DA52DE"/>
    <w:rsid w:val="00DA652F"/>
    <w:rsid w:val="00DA673D"/>
    <w:rsid w:val="00DB15E7"/>
    <w:rsid w:val="00DB3214"/>
    <w:rsid w:val="00DB7338"/>
    <w:rsid w:val="00DB7D09"/>
    <w:rsid w:val="00DB7FF7"/>
    <w:rsid w:val="00DC161E"/>
    <w:rsid w:val="00DC3599"/>
    <w:rsid w:val="00DC4412"/>
    <w:rsid w:val="00DC4F79"/>
    <w:rsid w:val="00DC7BA5"/>
    <w:rsid w:val="00DD02DE"/>
    <w:rsid w:val="00DD1630"/>
    <w:rsid w:val="00DD2160"/>
    <w:rsid w:val="00DD409B"/>
    <w:rsid w:val="00DD5611"/>
    <w:rsid w:val="00DD5986"/>
    <w:rsid w:val="00DE07A3"/>
    <w:rsid w:val="00DE109C"/>
    <w:rsid w:val="00DE2590"/>
    <w:rsid w:val="00DE28F7"/>
    <w:rsid w:val="00DE2A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20A48"/>
    <w:rsid w:val="00E212CD"/>
    <w:rsid w:val="00E2161F"/>
    <w:rsid w:val="00E22F8C"/>
    <w:rsid w:val="00E2328F"/>
    <w:rsid w:val="00E23D5C"/>
    <w:rsid w:val="00E24C5A"/>
    <w:rsid w:val="00E24D0D"/>
    <w:rsid w:val="00E253C0"/>
    <w:rsid w:val="00E26838"/>
    <w:rsid w:val="00E27A1A"/>
    <w:rsid w:val="00E27CD0"/>
    <w:rsid w:val="00E27F4A"/>
    <w:rsid w:val="00E30092"/>
    <w:rsid w:val="00E306FA"/>
    <w:rsid w:val="00E3226A"/>
    <w:rsid w:val="00E330E2"/>
    <w:rsid w:val="00E33135"/>
    <w:rsid w:val="00E350DA"/>
    <w:rsid w:val="00E37C3C"/>
    <w:rsid w:val="00E40C89"/>
    <w:rsid w:val="00E44314"/>
    <w:rsid w:val="00E5094F"/>
    <w:rsid w:val="00E52A65"/>
    <w:rsid w:val="00E54BAE"/>
    <w:rsid w:val="00E5576F"/>
    <w:rsid w:val="00E56B3D"/>
    <w:rsid w:val="00E57BF2"/>
    <w:rsid w:val="00E6464A"/>
    <w:rsid w:val="00E72843"/>
    <w:rsid w:val="00E72A1E"/>
    <w:rsid w:val="00E7312C"/>
    <w:rsid w:val="00E737B5"/>
    <w:rsid w:val="00E74166"/>
    <w:rsid w:val="00E76D83"/>
    <w:rsid w:val="00E770F5"/>
    <w:rsid w:val="00E77D0D"/>
    <w:rsid w:val="00E80850"/>
    <w:rsid w:val="00E80DFC"/>
    <w:rsid w:val="00E81FA8"/>
    <w:rsid w:val="00E8334E"/>
    <w:rsid w:val="00E85A70"/>
    <w:rsid w:val="00E86903"/>
    <w:rsid w:val="00E872FE"/>
    <w:rsid w:val="00E90217"/>
    <w:rsid w:val="00E90FE4"/>
    <w:rsid w:val="00E91488"/>
    <w:rsid w:val="00E915BD"/>
    <w:rsid w:val="00E95184"/>
    <w:rsid w:val="00E95A8F"/>
    <w:rsid w:val="00EA13AE"/>
    <w:rsid w:val="00EA7005"/>
    <w:rsid w:val="00EA73EF"/>
    <w:rsid w:val="00EB1384"/>
    <w:rsid w:val="00EB2F2D"/>
    <w:rsid w:val="00EB3820"/>
    <w:rsid w:val="00EB3C9F"/>
    <w:rsid w:val="00EB51E7"/>
    <w:rsid w:val="00EB5A34"/>
    <w:rsid w:val="00EB7113"/>
    <w:rsid w:val="00EC06BA"/>
    <w:rsid w:val="00EC3CE2"/>
    <w:rsid w:val="00EC599B"/>
    <w:rsid w:val="00EC5C40"/>
    <w:rsid w:val="00EC5F13"/>
    <w:rsid w:val="00EC62EE"/>
    <w:rsid w:val="00EC69A8"/>
    <w:rsid w:val="00EC70F0"/>
    <w:rsid w:val="00ED0581"/>
    <w:rsid w:val="00ED0C20"/>
    <w:rsid w:val="00ED2ACE"/>
    <w:rsid w:val="00ED4BDC"/>
    <w:rsid w:val="00ED76E9"/>
    <w:rsid w:val="00EE0830"/>
    <w:rsid w:val="00EE30ED"/>
    <w:rsid w:val="00EE3525"/>
    <w:rsid w:val="00EE45E3"/>
    <w:rsid w:val="00EE552F"/>
    <w:rsid w:val="00EE690F"/>
    <w:rsid w:val="00EF1202"/>
    <w:rsid w:val="00EF283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3D0"/>
    <w:rsid w:val="00F30C61"/>
    <w:rsid w:val="00F30E30"/>
    <w:rsid w:val="00F314C9"/>
    <w:rsid w:val="00F31A13"/>
    <w:rsid w:val="00F328B6"/>
    <w:rsid w:val="00F34395"/>
    <w:rsid w:val="00F34DD6"/>
    <w:rsid w:val="00F37E2D"/>
    <w:rsid w:val="00F40F3A"/>
    <w:rsid w:val="00F4130E"/>
    <w:rsid w:val="00F41AEC"/>
    <w:rsid w:val="00F4268F"/>
    <w:rsid w:val="00F44C9E"/>
    <w:rsid w:val="00F454F3"/>
    <w:rsid w:val="00F502BF"/>
    <w:rsid w:val="00F516E8"/>
    <w:rsid w:val="00F52EEF"/>
    <w:rsid w:val="00F53246"/>
    <w:rsid w:val="00F545A1"/>
    <w:rsid w:val="00F57645"/>
    <w:rsid w:val="00F60474"/>
    <w:rsid w:val="00F6055A"/>
    <w:rsid w:val="00F61B71"/>
    <w:rsid w:val="00F640C3"/>
    <w:rsid w:val="00F6689B"/>
    <w:rsid w:val="00F66D50"/>
    <w:rsid w:val="00F72AA8"/>
    <w:rsid w:val="00F74B61"/>
    <w:rsid w:val="00F75C6B"/>
    <w:rsid w:val="00F8176E"/>
    <w:rsid w:val="00F81EA7"/>
    <w:rsid w:val="00F82B22"/>
    <w:rsid w:val="00F82D97"/>
    <w:rsid w:val="00F82E5E"/>
    <w:rsid w:val="00F849D0"/>
    <w:rsid w:val="00F8516C"/>
    <w:rsid w:val="00F85910"/>
    <w:rsid w:val="00F867A3"/>
    <w:rsid w:val="00F874BA"/>
    <w:rsid w:val="00F923DE"/>
    <w:rsid w:val="00F95969"/>
    <w:rsid w:val="00F961E3"/>
    <w:rsid w:val="00F97788"/>
    <w:rsid w:val="00FA1036"/>
    <w:rsid w:val="00FA24EA"/>
    <w:rsid w:val="00FA254A"/>
    <w:rsid w:val="00FA28C3"/>
    <w:rsid w:val="00FB0859"/>
    <w:rsid w:val="00FB1A96"/>
    <w:rsid w:val="00FB39FE"/>
    <w:rsid w:val="00FB59C1"/>
    <w:rsid w:val="00FB635B"/>
    <w:rsid w:val="00FC03C1"/>
    <w:rsid w:val="00FC1AFA"/>
    <w:rsid w:val="00FC4834"/>
    <w:rsid w:val="00FC6ACF"/>
    <w:rsid w:val="00FC74FD"/>
    <w:rsid w:val="00FD0161"/>
    <w:rsid w:val="00FD096E"/>
    <w:rsid w:val="00FD0E0C"/>
    <w:rsid w:val="00FD12AD"/>
    <w:rsid w:val="00FD17A3"/>
    <w:rsid w:val="00FD3337"/>
    <w:rsid w:val="00FD50E6"/>
    <w:rsid w:val="00FD63D9"/>
    <w:rsid w:val="00FD7AC0"/>
    <w:rsid w:val="00FE01FA"/>
    <w:rsid w:val="00FE3407"/>
    <w:rsid w:val="00FE4131"/>
    <w:rsid w:val="00FE4A0A"/>
    <w:rsid w:val="00FE4D7D"/>
    <w:rsid w:val="00FE5E40"/>
    <w:rsid w:val="00FE6796"/>
    <w:rsid w:val="00FE6AC1"/>
    <w:rsid w:val="00FF016E"/>
    <w:rsid w:val="00FF10DC"/>
    <w:rsid w:val="00FF3A0E"/>
    <w:rsid w:val="00FF3E3A"/>
    <w:rsid w:val="00FF5408"/>
    <w:rsid w:val="01535EBC"/>
    <w:rsid w:val="019D18DD"/>
    <w:rsid w:val="01A051A5"/>
    <w:rsid w:val="01AD6336"/>
    <w:rsid w:val="01ED2F4F"/>
    <w:rsid w:val="02500247"/>
    <w:rsid w:val="02B61011"/>
    <w:rsid w:val="038627B8"/>
    <w:rsid w:val="03AD6170"/>
    <w:rsid w:val="04115339"/>
    <w:rsid w:val="04521DEF"/>
    <w:rsid w:val="04B02983"/>
    <w:rsid w:val="059B58CF"/>
    <w:rsid w:val="060B7677"/>
    <w:rsid w:val="061A5313"/>
    <w:rsid w:val="0641548F"/>
    <w:rsid w:val="06492AAF"/>
    <w:rsid w:val="0671338F"/>
    <w:rsid w:val="067B3187"/>
    <w:rsid w:val="0698417D"/>
    <w:rsid w:val="06CD6568"/>
    <w:rsid w:val="070754CD"/>
    <w:rsid w:val="072E7F81"/>
    <w:rsid w:val="0734625B"/>
    <w:rsid w:val="07351825"/>
    <w:rsid w:val="079636D7"/>
    <w:rsid w:val="07A61EB7"/>
    <w:rsid w:val="0806057A"/>
    <w:rsid w:val="088E4584"/>
    <w:rsid w:val="088F1A08"/>
    <w:rsid w:val="08C94CB9"/>
    <w:rsid w:val="08D02C41"/>
    <w:rsid w:val="08E73F86"/>
    <w:rsid w:val="094216B7"/>
    <w:rsid w:val="09C02BBF"/>
    <w:rsid w:val="0A1D6717"/>
    <w:rsid w:val="0A337367"/>
    <w:rsid w:val="0ABD67A5"/>
    <w:rsid w:val="0AC74C67"/>
    <w:rsid w:val="0AEC4C33"/>
    <w:rsid w:val="0AF81F7D"/>
    <w:rsid w:val="0AF9651E"/>
    <w:rsid w:val="0BC24B89"/>
    <w:rsid w:val="0BF375C3"/>
    <w:rsid w:val="0BF608EB"/>
    <w:rsid w:val="0C2810EF"/>
    <w:rsid w:val="0C3C78C3"/>
    <w:rsid w:val="0C8637AC"/>
    <w:rsid w:val="0CAE25FF"/>
    <w:rsid w:val="0CDC34AF"/>
    <w:rsid w:val="0CFC2A51"/>
    <w:rsid w:val="0D3614D2"/>
    <w:rsid w:val="0D4A190D"/>
    <w:rsid w:val="0D60748F"/>
    <w:rsid w:val="0D9A18D0"/>
    <w:rsid w:val="0DD0188F"/>
    <w:rsid w:val="0DEC650F"/>
    <w:rsid w:val="0DFA5BB6"/>
    <w:rsid w:val="0EB94892"/>
    <w:rsid w:val="0ECB0097"/>
    <w:rsid w:val="0F012471"/>
    <w:rsid w:val="0F09353F"/>
    <w:rsid w:val="0F380138"/>
    <w:rsid w:val="0F5F7948"/>
    <w:rsid w:val="10434336"/>
    <w:rsid w:val="10BE71C3"/>
    <w:rsid w:val="11337EFB"/>
    <w:rsid w:val="115713ED"/>
    <w:rsid w:val="11600A16"/>
    <w:rsid w:val="11B30D94"/>
    <w:rsid w:val="12A0591F"/>
    <w:rsid w:val="12B73FFB"/>
    <w:rsid w:val="12BF2400"/>
    <w:rsid w:val="12F66907"/>
    <w:rsid w:val="130A6356"/>
    <w:rsid w:val="1360576D"/>
    <w:rsid w:val="137463DF"/>
    <w:rsid w:val="13DC3156"/>
    <w:rsid w:val="1426405A"/>
    <w:rsid w:val="14311128"/>
    <w:rsid w:val="143C2427"/>
    <w:rsid w:val="14481B6D"/>
    <w:rsid w:val="146555EB"/>
    <w:rsid w:val="14BA2DBC"/>
    <w:rsid w:val="14BD06B8"/>
    <w:rsid w:val="14E52296"/>
    <w:rsid w:val="15537400"/>
    <w:rsid w:val="15562652"/>
    <w:rsid w:val="1583223F"/>
    <w:rsid w:val="159C5ED1"/>
    <w:rsid w:val="15D64F91"/>
    <w:rsid w:val="15D92473"/>
    <w:rsid w:val="15F546BA"/>
    <w:rsid w:val="15FF414E"/>
    <w:rsid w:val="160E5BA4"/>
    <w:rsid w:val="16595AD6"/>
    <w:rsid w:val="165D02EF"/>
    <w:rsid w:val="168B561F"/>
    <w:rsid w:val="168B794A"/>
    <w:rsid w:val="16D1158E"/>
    <w:rsid w:val="17183CCA"/>
    <w:rsid w:val="17360BC8"/>
    <w:rsid w:val="174428E9"/>
    <w:rsid w:val="17452200"/>
    <w:rsid w:val="176420E2"/>
    <w:rsid w:val="178B74E4"/>
    <w:rsid w:val="18127246"/>
    <w:rsid w:val="18376C5B"/>
    <w:rsid w:val="183C749A"/>
    <w:rsid w:val="185E77BE"/>
    <w:rsid w:val="18BB49A9"/>
    <w:rsid w:val="19AC6797"/>
    <w:rsid w:val="19FE3D52"/>
    <w:rsid w:val="1A680331"/>
    <w:rsid w:val="1A7C2890"/>
    <w:rsid w:val="1AA8733D"/>
    <w:rsid w:val="1B0051DB"/>
    <w:rsid w:val="1B324FB0"/>
    <w:rsid w:val="1B5653C7"/>
    <w:rsid w:val="1B975ED5"/>
    <w:rsid w:val="1BAF2B27"/>
    <w:rsid w:val="1C385260"/>
    <w:rsid w:val="1C7976A4"/>
    <w:rsid w:val="1C8735BD"/>
    <w:rsid w:val="1D0B0A16"/>
    <w:rsid w:val="1D650CC3"/>
    <w:rsid w:val="1DF36F10"/>
    <w:rsid w:val="1E1A1926"/>
    <w:rsid w:val="1E1A3914"/>
    <w:rsid w:val="1EC10B1B"/>
    <w:rsid w:val="1EC63D7C"/>
    <w:rsid w:val="1F4D61EB"/>
    <w:rsid w:val="207E6C00"/>
    <w:rsid w:val="209464CD"/>
    <w:rsid w:val="20B2740F"/>
    <w:rsid w:val="20B81DD3"/>
    <w:rsid w:val="20E467D8"/>
    <w:rsid w:val="21201660"/>
    <w:rsid w:val="21396CB8"/>
    <w:rsid w:val="21416291"/>
    <w:rsid w:val="21AA7CA6"/>
    <w:rsid w:val="21D2208E"/>
    <w:rsid w:val="21FF2B6B"/>
    <w:rsid w:val="222C7E8C"/>
    <w:rsid w:val="228A73C5"/>
    <w:rsid w:val="22B15D07"/>
    <w:rsid w:val="22DF7DFC"/>
    <w:rsid w:val="23121934"/>
    <w:rsid w:val="238555C9"/>
    <w:rsid w:val="23A32375"/>
    <w:rsid w:val="245501C2"/>
    <w:rsid w:val="24E07E36"/>
    <w:rsid w:val="25027CEC"/>
    <w:rsid w:val="251A47DB"/>
    <w:rsid w:val="25D474A1"/>
    <w:rsid w:val="25E01AE5"/>
    <w:rsid w:val="260C0C73"/>
    <w:rsid w:val="263458F1"/>
    <w:rsid w:val="26C679EB"/>
    <w:rsid w:val="27240F9C"/>
    <w:rsid w:val="272B664F"/>
    <w:rsid w:val="27D0173F"/>
    <w:rsid w:val="281B2B80"/>
    <w:rsid w:val="28227A69"/>
    <w:rsid w:val="28332C98"/>
    <w:rsid w:val="28E6016C"/>
    <w:rsid w:val="28E61363"/>
    <w:rsid w:val="28F81A01"/>
    <w:rsid w:val="29630D60"/>
    <w:rsid w:val="29976826"/>
    <w:rsid w:val="2A447D96"/>
    <w:rsid w:val="2AF132E5"/>
    <w:rsid w:val="2B0651FF"/>
    <w:rsid w:val="2B207172"/>
    <w:rsid w:val="2BBE7D2C"/>
    <w:rsid w:val="2BEE5854"/>
    <w:rsid w:val="2C580223"/>
    <w:rsid w:val="2C897AD5"/>
    <w:rsid w:val="2CC64B97"/>
    <w:rsid w:val="2D0A2CFB"/>
    <w:rsid w:val="2D2C75CF"/>
    <w:rsid w:val="2D4C2D0F"/>
    <w:rsid w:val="2D7763E5"/>
    <w:rsid w:val="2D8C25BE"/>
    <w:rsid w:val="2DD90901"/>
    <w:rsid w:val="2E5D0DE4"/>
    <w:rsid w:val="2EBA6468"/>
    <w:rsid w:val="2EC804C1"/>
    <w:rsid w:val="2ED647A7"/>
    <w:rsid w:val="2ED6546B"/>
    <w:rsid w:val="2ED96FE6"/>
    <w:rsid w:val="2EFD6C01"/>
    <w:rsid w:val="2F320CC9"/>
    <w:rsid w:val="2F4F3840"/>
    <w:rsid w:val="2F9D42C1"/>
    <w:rsid w:val="2FA874B2"/>
    <w:rsid w:val="2FEF61B9"/>
    <w:rsid w:val="307562FE"/>
    <w:rsid w:val="308835B0"/>
    <w:rsid w:val="30A17FDC"/>
    <w:rsid w:val="30C1111D"/>
    <w:rsid w:val="30F811AB"/>
    <w:rsid w:val="312253DC"/>
    <w:rsid w:val="313E40CB"/>
    <w:rsid w:val="31861700"/>
    <w:rsid w:val="3186794B"/>
    <w:rsid w:val="318F0C07"/>
    <w:rsid w:val="31E871BF"/>
    <w:rsid w:val="31F01E96"/>
    <w:rsid w:val="320870E0"/>
    <w:rsid w:val="3210025C"/>
    <w:rsid w:val="32352F48"/>
    <w:rsid w:val="32747BA7"/>
    <w:rsid w:val="3297664C"/>
    <w:rsid w:val="32AE5BDD"/>
    <w:rsid w:val="32B86216"/>
    <w:rsid w:val="32D13E89"/>
    <w:rsid w:val="32D6021D"/>
    <w:rsid w:val="335E5AD0"/>
    <w:rsid w:val="33A93E13"/>
    <w:rsid w:val="33ED4BAD"/>
    <w:rsid w:val="345676E2"/>
    <w:rsid w:val="345C691A"/>
    <w:rsid w:val="345E214B"/>
    <w:rsid w:val="34BD1D33"/>
    <w:rsid w:val="34FB24E4"/>
    <w:rsid w:val="35714720"/>
    <w:rsid w:val="35DC2BCB"/>
    <w:rsid w:val="35E60492"/>
    <w:rsid w:val="3621189E"/>
    <w:rsid w:val="36405BAA"/>
    <w:rsid w:val="36837E96"/>
    <w:rsid w:val="36BA5155"/>
    <w:rsid w:val="36C74C41"/>
    <w:rsid w:val="36E81D5E"/>
    <w:rsid w:val="379F2C44"/>
    <w:rsid w:val="37A7776B"/>
    <w:rsid w:val="37AE26E7"/>
    <w:rsid w:val="3827507A"/>
    <w:rsid w:val="387C43FD"/>
    <w:rsid w:val="387D7DFF"/>
    <w:rsid w:val="38DB08A3"/>
    <w:rsid w:val="393F5007"/>
    <w:rsid w:val="3971511E"/>
    <w:rsid w:val="397C2D3D"/>
    <w:rsid w:val="39AF4AF7"/>
    <w:rsid w:val="39EB7B1F"/>
    <w:rsid w:val="3A30342A"/>
    <w:rsid w:val="3A4328FE"/>
    <w:rsid w:val="3A815CFC"/>
    <w:rsid w:val="3A8167D4"/>
    <w:rsid w:val="3AB43A96"/>
    <w:rsid w:val="3ADC246A"/>
    <w:rsid w:val="3AE8609C"/>
    <w:rsid w:val="3B1F0AFA"/>
    <w:rsid w:val="3B4D420E"/>
    <w:rsid w:val="3B502CC1"/>
    <w:rsid w:val="3B516760"/>
    <w:rsid w:val="3B6E6EB4"/>
    <w:rsid w:val="3B6F005A"/>
    <w:rsid w:val="3BB448C9"/>
    <w:rsid w:val="3C1D3384"/>
    <w:rsid w:val="3C4A6F16"/>
    <w:rsid w:val="3C7A50F7"/>
    <w:rsid w:val="3C8A3F43"/>
    <w:rsid w:val="3CDA2ACC"/>
    <w:rsid w:val="3CFE08DB"/>
    <w:rsid w:val="3D3952DC"/>
    <w:rsid w:val="3D4C692E"/>
    <w:rsid w:val="3D690B94"/>
    <w:rsid w:val="3D7A7192"/>
    <w:rsid w:val="3DA05CCB"/>
    <w:rsid w:val="3DB40E70"/>
    <w:rsid w:val="3E0A5302"/>
    <w:rsid w:val="3E3B24BF"/>
    <w:rsid w:val="3E6C3FAF"/>
    <w:rsid w:val="3E8E0FDF"/>
    <w:rsid w:val="3EA51E2C"/>
    <w:rsid w:val="3EAC040D"/>
    <w:rsid w:val="3EF34B07"/>
    <w:rsid w:val="3F72094D"/>
    <w:rsid w:val="3FC52740"/>
    <w:rsid w:val="3FF5371C"/>
    <w:rsid w:val="401A03CE"/>
    <w:rsid w:val="40532516"/>
    <w:rsid w:val="406D1780"/>
    <w:rsid w:val="40826F7D"/>
    <w:rsid w:val="409D55EE"/>
    <w:rsid w:val="40E9218D"/>
    <w:rsid w:val="411B4824"/>
    <w:rsid w:val="413D5C6F"/>
    <w:rsid w:val="41511118"/>
    <w:rsid w:val="415D7150"/>
    <w:rsid w:val="4181493C"/>
    <w:rsid w:val="41A22AC3"/>
    <w:rsid w:val="41AD2F3C"/>
    <w:rsid w:val="41DE0C28"/>
    <w:rsid w:val="42867163"/>
    <w:rsid w:val="428F3A9B"/>
    <w:rsid w:val="42C579CC"/>
    <w:rsid w:val="434314FE"/>
    <w:rsid w:val="435C52D6"/>
    <w:rsid w:val="43645516"/>
    <w:rsid w:val="437D7574"/>
    <w:rsid w:val="43DD1A29"/>
    <w:rsid w:val="44241DDE"/>
    <w:rsid w:val="44276889"/>
    <w:rsid w:val="443460A5"/>
    <w:rsid w:val="44530233"/>
    <w:rsid w:val="447E74C7"/>
    <w:rsid w:val="44CE77FE"/>
    <w:rsid w:val="44EB798A"/>
    <w:rsid w:val="45067792"/>
    <w:rsid w:val="45642F6A"/>
    <w:rsid w:val="459C36BB"/>
    <w:rsid w:val="464E293A"/>
    <w:rsid w:val="4652040F"/>
    <w:rsid w:val="467D0950"/>
    <w:rsid w:val="469A4E5F"/>
    <w:rsid w:val="470569E4"/>
    <w:rsid w:val="4706752E"/>
    <w:rsid w:val="471E2F58"/>
    <w:rsid w:val="475E2800"/>
    <w:rsid w:val="477142C4"/>
    <w:rsid w:val="47A706EE"/>
    <w:rsid w:val="47DA195B"/>
    <w:rsid w:val="47FE1DAB"/>
    <w:rsid w:val="488A01D5"/>
    <w:rsid w:val="489A6495"/>
    <w:rsid w:val="48BC0178"/>
    <w:rsid w:val="490B58A7"/>
    <w:rsid w:val="493C077D"/>
    <w:rsid w:val="49587306"/>
    <w:rsid w:val="49A9444F"/>
    <w:rsid w:val="49EE28F9"/>
    <w:rsid w:val="4A20103D"/>
    <w:rsid w:val="4A8A7F84"/>
    <w:rsid w:val="4A9061CF"/>
    <w:rsid w:val="4A955F53"/>
    <w:rsid w:val="4AEE55D0"/>
    <w:rsid w:val="4B144D40"/>
    <w:rsid w:val="4B3E5C0D"/>
    <w:rsid w:val="4B4107D0"/>
    <w:rsid w:val="4B805A5F"/>
    <w:rsid w:val="4BD950AA"/>
    <w:rsid w:val="4BFD2C74"/>
    <w:rsid w:val="4C234937"/>
    <w:rsid w:val="4C272014"/>
    <w:rsid w:val="4C2B36E5"/>
    <w:rsid w:val="4C9E0B90"/>
    <w:rsid w:val="4D412EF6"/>
    <w:rsid w:val="4D81453D"/>
    <w:rsid w:val="4DCB1184"/>
    <w:rsid w:val="4DDD5294"/>
    <w:rsid w:val="4DF44222"/>
    <w:rsid w:val="4E4F6B19"/>
    <w:rsid w:val="4E8F1021"/>
    <w:rsid w:val="4E9014D5"/>
    <w:rsid w:val="4E960D48"/>
    <w:rsid w:val="4EDE22D3"/>
    <w:rsid w:val="4EE707FB"/>
    <w:rsid w:val="4F3E18B2"/>
    <w:rsid w:val="4F7424BC"/>
    <w:rsid w:val="4FB17A29"/>
    <w:rsid w:val="50CB4649"/>
    <w:rsid w:val="51057F79"/>
    <w:rsid w:val="51475CC0"/>
    <w:rsid w:val="51694330"/>
    <w:rsid w:val="51AF698E"/>
    <w:rsid w:val="5202671F"/>
    <w:rsid w:val="52AB2917"/>
    <w:rsid w:val="52C10FED"/>
    <w:rsid w:val="52E71FB4"/>
    <w:rsid w:val="537151FB"/>
    <w:rsid w:val="53967C7D"/>
    <w:rsid w:val="53B54782"/>
    <w:rsid w:val="53CF71CE"/>
    <w:rsid w:val="547B4879"/>
    <w:rsid w:val="54AA0A30"/>
    <w:rsid w:val="551E7C6A"/>
    <w:rsid w:val="55EB77C0"/>
    <w:rsid w:val="562F0357"/>
    <w:rsid w:val="564F69B6"/>
    <w:rsid w:val="566E1BF3"/>
    <w:rsid w:val="569F775B"/>
    <w:rsid w:val="57303A7C"/>
    <w:rsid w:val="57481A8E"/>
    <w:rsid w:val="576F7E5F"/>
    <w:rsid w:val="577A4068"/>
    <w:rsid w:val="5786719D"/>
    <w:rsid w:val="58337254"/>
    <w:rsid w:val="585970C1"/>
    <w:rsid w:val="585E072C"/>
    <w:rsid w:val="58E00C77"/>
    <w:rsid w:val="59995DB1"/>
    <w:rsid w:val="59AD0C40"/>
    <w:rsid w:val="59AD1538"/>
    <w:rsid w:val="59C23FD3"/>
    <w:rsid w:val="5A0B5E95"/>
    <w:rsid w:val="5A246F57"/>
    <w:rsid w:val="5A377F44"/>
    <w:rsid w:val="5A742D4C"/>
    <w:rsid w:val="5ABE444B"/>
    <w:rsid w:val="5ABE489C"/>
    <w:rsid w:val="5AC07CB3"/>
    <w:rsid w:val="5ACA6272"/>
    <w:rsid w:val="5AF00B1A"/>
    <w:rsid w:val="5AF95A23"/>
    <w:rsid w:val="5B4E0B38"/>
    <w:rsid w:val="5B5E75EC"/>
    <w:rsid w:val="5B9613B7"/>
    <w:rsid w:val="5BCB44AB"/>
    <w:rsid w:val="5BE96D14"/>
    <w:rsid w:val="5BF13CF3"/>
    <w:rsid w:val="5C0C0D9A"/>
    <w:rsid w:val="5C2B273D"/>
    <w:rsid w:val="5C8C55D5"/>
    <w:rsid w:val="5CBF18BC"/>
    <w:rsid w:val="5CF07939"/>
    <w:rsid w:val="5D2802F3"/>
    <w:rsid w:val="5D785739"/>
    <w:rsid w:val="5D7F1D48"/>
    <w:rsid w:val="5D80343C"/>
    <w:rsid w:val="5DC504EC"/>
    <w:rsid w:val="5E022EA9"/>
    <w:rsid w:val="5E164D40"/>
    <w:rsid w:val="5EA1196F"/>
    <w:rsid w:val="5EBA0F5F"/>
    <w:rsid w:val="5EBA2F8B"/>
    <w:rsid w:val="5EEA4CD2"/>
    <w:rsid w:val="5F1F06B8"/>
    <w:rsid w:val="5F4F7A12"/>
    <w:rsid w:val="5F6251ED"/>
    <w:rsid w:val="5F6C6DF0"/>
    <w:rsid w:val="5F9C495E"/>
    <w:rsid w:val="5FA8460E"/>
    <w:rsid w:val="5FB20B59"/>
    <w:rsid w:val="5FEE613D"/>
    <w:rsid w:val="608E4034"/>
    <w:rsid w:val="60A239C9"/>
    <w:rsid w:val="60D91D37"/>
    <w:rsid w:val="60FA6D79"/>
    <w:rsid w:val="61321BB8"/>
    <w:rsid w:val="61380A68"/>
    <w:rsid w:val="613A17BA"/>
    <w:rsid w:val="617F1A46"/>
    <w:rsid w:val="61DA4D7C"/>
    <w:rsid w:val="61F677EB"/>
    <w:rsid w:val="62184B39"/>
    <w:rsid w:val="623252F3"/>
    <w:rsid w:val="626D1426"/>
    <w:rsid w:val="62AE13F1"/>
    <w:rsid w:val="62C74C67"/>
    <w:rsid w:val="634576F3"/>
    <w:rsid w:val="63632ACB"/>
    <w:rsid w:val="636B4289"/>
    <w:rsid w:val="637558D0"/>
    <w:rsid w:val="637B5306"/>
    <w:rsid w:val="63851CFD"/>
    <w:rsid w:val="63B12810"/>
    <w:rsid w:val="642E0247"/>
    <w:rsid w:val="6479413D"/>
    <w:rsid w:val="64F848D8"/>
    <w:rsid w:val="6530763D"/>
    <w:rsid w:val="6585670A"/>
    <w:rsid w:val="65C719E0"/>
    <w:rsid w:val="65DD49E7"/>
    <w:rsid w:val="66257BD6"/>
    <w:rsid w:val="667C7C00"/>
    <w:rsid w:val="668E1C3C"/>
    <w:rsid w:val="669F5EFA"/>
    <w:rsid w:val="66BB7FB3"/>
    <w:rsid w:val="66F44120"/>
    <w:rsid w:val="66FD0ADB"/>
    <w:rsid w:val="671E4109"/>
    <w:rsid w:val="676C2CBF"/>
    <w:rsid w:val="68233E98"/>
    <w:rsid w:val="68BF756D"/>
    <w:rsid w:val="68CE27BB"/>
    <w:rsid w:val="691F09A3"/>
    <w:rsid w:val="69500604"/>
    <w:rsid w:val="69524DAB"/>
    <w:rsid w:val="695E05F9"/>
    <w:rsid w:val="696D08E0"/>
    <w:rsid w:val="69B4783D"/>
    <w:rsid w:val="69C15A14"/>
    <w:rsid w:val="69CC2B0F"/>
    <w:rsid w:val="69D92408"/>
    <w:rsid w:val="6A8848D8"/>
    <w:rsid w:val="6A9C6D27"/>
    <w:rsid w:val="6AC10B58"/>
    <w:rsid w:val="6AD2450A"/>
    <w:rsid w:val="6B8954B5"/>
    <w:rsid w:val="6BDF5F4E"/>
    <w:rsid w:val="6C50014D"/>
    <w:rsid w:val="6C597288"/>
    <w:rsid w:val="6C612D7E"/>
    <w:rsid w:val="6C9D1BCF"/>
    <w:rsid w:val="6D3470DE"/>
    <w:rsid w:val="6D914092"/>
    <w:rsid w:val="6D9B3A9B"/>
    <w:rsid w:val="6DEA2A76"/>
    <w:rsid w:val="6EDC23DD"/>
    <w:rsid w:val="6F0F18E5"/>
    <w:rsid w:val="6F165DBC"/>
    <w:rsid w:val="6F364B5F"/>
    <w:rsid w:val="6F3E4050"/>
    <w:rsid w:val="6F5B5650"/>
    <w:rsid w:val="6F660F70"/>
    <w:rsid w:val="6F7C5AAB"/>
    <w:rsid w:val="6FA37BFA"/>
    <w:rsid w:val="70AD0488"/>
    <w:rsid w:val="70F161A9"/>
    <w:rsid w:val="713E6EBD"/>
    <w:rsid w:val="714E09F3"/>
    <w:rsid w:val="717362D3"/>
    <w:rsid w:val="71B95A25"/>
    <w:rsid w:val="71FA1C5E"/>
    <w:rsid w:val="72054BED"/>
    <w:rsid w:val="720B608D"/>
    <w:rsid w:val="72323F70"/>
    <w:rsid w:val="72422A0F"/>
    <w:rsid w:val="726A2BE6"/>
    <w:rsid w:val="72920C9E"/>
    <w:rsid w:val="72C5755C"/>
    <w:rsid w:val="739D07C0"/>
    <w:rsid w:val="73A96C48"/>
    <w:rsid w:val="74285CC7"/>
    <w:rsid w:val="74295FDA"/>
    <w:rsid w:val="743301F6"/>
    <w:rsid w:val="74527DA5"/>
    <w:rsid w:val="748847CC"/>
    <w:rsid w:val="74B843B3"/>
    <w:rsid w:val="74DA7702"/>
    <w:rsid w:val="75127471"/>
    <w:rsid w:val="751471B8"/>
    <w:rsid w:val="754C7F89"/>
    <w:rsid w:val="75A001EC"/>
    <w:rsid w:val="75CA0283"/>
    <w:rsid w:val="75FA352D"/>
    <w:rsid w:val="767D2049"/>
    <w:rsid w:val="768207A5"/>
    <w:rsid w:val="76A2179B"/>
    <w:rsid w:val="76BF2C08"/>
    <w:rsid w:val="76D51348"/>
    <w:rsid w:val="76D66050"/>
    <w:rsid w:val="770352EE"/>
    <w:rsid w:val="7737042E"/>
    <w:rsid w:val="77565832"/>
    <w:rsid w:val="776E4150"/>
    <w:rsid w:val="77890BDB"/>
    <w:rsid w:val="77D3660D"/>
    <w:rsid w:val="77E43123"/>
    <w:rsid w:val="781D77A7"/>
    <w:rsid w:val="7827373A"/>
    <w:rsid w:val="78377BA0"/>
    <w:rsid w:val="785437D3"/>
    <w:rsid w:val="78565AAF"/>
    <w:rsid w:val="78A74FA9"/>
    <w:rsid w:val="78BE7CBA"/>
    <w:rsid w:val="78DD3131"/>
    <w:rsid w:val="790650FC"/>
    <w:rsid w:val="791708A9"/>
    <w:rsid w:val="79430348"/>
    <w:rsid w:val="79701A39"/>
    <w:rsid w:val="7A082988"/>
    <w:rsid w:val="7A1C10FB"/>
    <w:rsid w:val="7A424D7F"/>
    <w:rsid w:val="7A4D4FC3"/>
    <w:rsid w:val="7AB87EDD"/>
    <w:rsid w:val="7AE64B83"/>
    <w:rsid w:val="7B002162"/>
    <w:rsid w:val="7B124FB7"/>
    <w:rsid w:val="7B361A8A"/>
    <w:rsid w:val="7BAE5A06"/>
    <w:rsid w:val="7BDF1C40"/>
    <w:rsid w:val="7CB818B8"/>
    <w:rsid w:val="7CD50713"/>
    <w:rsid w:val="7D8C5E76"/>
    <w:rsid w:val="7D930C12"/>
    <w:rsid w:val="7D995F28"/>
    <w:rsid w:val="7DA0352B"/>
    <w:rsid w:val="7DB019FA"/>
    <w:rsid w:val="7DCC7103"/>
    <w:rsid w:val="7DDB2B1D"/>
    <w:rsid w:val="7E6F1293"/>
    <w:rsid w:val="7E8655D4"/>
    <w:rsid w:val="7E893F54"/>
    <w:rsid w:val="7E8D32EE"/>
    <w:rsid w:val="7E8E0310"/>
    <w:rsid w:val="7EEE6F84"/>
    <w:rsid w:val="7F1A3252"/>
    <w:rsid w:val="7F1D5ECC"/>
    <w:rsid w:val="7F785775"/>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fillcolor="white" stroke="f">
      <v:fill color="white"/>
      <v:stroke on="f"/>
    </o:shapedefaults>
    <o:shapelayout v:ext="edit">
      <o:idmap v:ext="edit" data="1"/>
    </o:shapelayout>
  </w:shapeDefaults>
  <w:decimalSymbol w:val="."/>
  <w:listSeparator w:val=","/>
  <w15:docId w15:val="{1316E2CE-93E8-47F0-9D06-A43F9975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200" w:hangingChars="200" w:hanging="200"/>
      <w:contextualSpacing/>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ascii="Times New Roman" w:eastAsia="宋体" w:hAnsi="Times New Roman"/>
      <w:sz w:val="24"/>
      <w:szCs w:val="24"/>
    </w:rPr>
  </w:style>
  <w:style w:type="paragraph" w:customStyle="1" w:styleId="Revision1">
    <w:name w:val="Revision1"/>
    <w:hidden/>
    <w:uiPriority w:val="99"/>
    <w:semiHidden/>
    <w:qFormat/>
    <w:rPr>
      <w:rFonts w:asciiTheme="minorHAnsi"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hAnsiTheme="minorHAnsi" w:cstheme="minorBidi"/>
      <w:sz w:val="22"/>
      <w:szCs w:val="22"/>
    </w:rPr>
  </w:style>
  <w:style w:type="character" w:styleId="af0">
    <w:name w:val="Placeholder Text"/>
    <w:basedOn w:val="a0"/>
    <w:uiPriority w:val="99"/>
    <w:semiHidden/>
    <w:qFormat/>
    <w:rPr>
      <w:color w:val="808080"/>
    </w:rPr>
  </w:style>
  <w:style w:type="character" w:customStyle="1" w:styleId="font51">
    <w:name w:val="font51"/>
    <w:basedOn w:val="a0"/>
    <w:qFormat/>
    <w:rPr>
      <w:rFonts w:ascii="Arial Unicode MS" w:eastAsia="Arial Unicode MS" w:hAnsi="Arial Unicode MS" w:cs="Arial Unicode MS" w:hint="default"/>
      <w:color w:val="000000"/>
      <w:sz w:val="24"/>
      <w:szCs w:val="24"/>
      <w:u w:val="none"/>
    </w:rPr>
  </w:style>
  <w:style w:type="character" w:customStyle="1" w:styleId="font81">
    <w:name w:val="font81"/>
    <w:basedOn w:val="a0"/>
    <w:qFormat/>
    <w:rPr>
      <w:rFonts w:ascii="Arial Unicode MS" w:eastAsia="Arial Unicode MS" w:hAnsi="Arial Unicode MS" w:cs="Arial Unicode MS" w:hint="default"/>
      <w:color w:val="000000"/>
      <w:sz w:val="12"/>
      <w:szCs w:val="12"/>
      <w:u w:val="none"/>
    </w:rPr>
  </w:style>
  <w:style w:type="paragraph" w:customStyle="1" w:styleId="B1">
    <w:name w:val="B1"/>
    <w:basedOn w:val="a9"/>
    <w:qFormat/>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10.bin"/><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openxmlformats.org/officeDocument/2006/relationships/image" Target="media/image17.png"/><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oleObject" Target="embeddings/oleObject6.bin"/><Relationship Id="rId29" Type="http://schemas.openxmlformats.org/officeDocument/2006/relationships/oleObject" Target="embeddings/oleObject14.bin"/><Relationship Id="rId11" Type="http://schemas.openxmlformats.org/officeDocument/2006/relationships/oleObject" Target="embeddings/oleObject3.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2.wmf"/><Relationship Id="rId40" Type="http://schemas.openxmlformats.org/officeDocument/2006/relationships/oleObject" Target="embeddings/oleObject21.bin"/><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9.wmf"/><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6.png"/><Relationship Id="rId20" Type="http://schemas.openxmlformats.org/officeDocument/2006/relationships/oleObject" Target="embeddings/oleObject9.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DAB921-C0CD-428A-9C47-26BC3652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2434</Words>
  <Characters>13875</Characters>
  <Application>Microsoft Office Word</Application>
  <DocSecurity>0</DocSecurity>
  <Lines>115</Lines>
  <Paragraphs>32</Paragraphs>
  <ScaleCrop>false</ScaleCrop>
  <Company/>
  <LinksUpToDate>false</LinksUpToDate>
  <CharactersWithSpaces>16277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55</cp:revision>
  <dcterms:created xsi:type="dcterms:W3CDTF">2021-03-31T05:56:00Z</dcterms:created>
  <dcterms:modified xsi:type="dcterms:W3CDTF">2021-04-06T11:25:00Z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